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9222F9" w:rsidRDefault="00030960">
      <w:pPr>
        <w:rPr>
          <w:b/>
          <w:sz w:val="40"/>
          <w:szCs w:val="40"/>
        </w:rPr>
      </w:pPr>
      <w:r w:rsidRPr="009222F9">
        <w:rPr>
          <w:b/>
          <w:sz w:val="40"/>
          <w:szCs w:val="40"/>
        </w:rPr>
        <w:t>The Zoophagous Maniac: Madness and Degeneracy in Dracula</w:t>
      </w:r>
    </w:p>
    <w:p w:rsidR="009222F9" w:rsidRDefault="009222F9">
      <w:r>
        <w:t xml:space="preserve">By Valerie </w:t>
      </w:r>
      <w:proofErr w:type="spellStart"/>
      <w:r>
        <w:t>Pedlar</w:t>
      </w:r>
      <w:proofErr w:type="spellEnd"/>
      <w:r>
        <w:t>, Liverpool University Press</w:t>
      </w:r>
    </w:p>
    <w:p w:rsidR="009222F9" w:rsidRDefault="009222F9">
      <w:r>
        <w:t>[…]</w:t>
      </w:r>
    </w:p>
    <w:p w:rsidR="00030960" w:rsidRDefault="005D488A">
      <w:r>
        <w:t xml:space="preserve">(1) </w:t>
      </w:r>
      <w:r w:rsidR="00030960">
        <w:t>Although, as has been well noted, Dracula, like The Woman in White</w:t>
      </w:r>
      <w:r>
        <w:rPr>
          <w:rStyle w:val="FootnoteReference"/>
        </w:rPr>
        <w:footnoteReference w:id="1"/>
      </w:r>
      <w:r w:rsidR="00030960">
        <w:t xml:space="preserve">, is constructed from diary entries, letters and newspaper reports; unlike the earlier novel, the assemblage does not appear as the work of one individual operating as an author/editor and there is greater emphasis on the recording of events, impressions and thoughts almost as they happen rather than submitting formal reports afterwards. This is particularly the case before those having some sort of contact with Dracula have joined forces and pooled their information. Apparently disparate phenomena are recorded, for which causes have to be discovered and between which links are gradually revealed. One of the chief narrators is John Seward, the doctor of the asylum in the grounds of </w:t>
      </w:r>
      <w:proofErr w:type="spellStart"/>
      <w:r w:rsidR="00030960">
        <w:t>Carfax</w:t>
      </w:r>
      <w:proofErr w:type="spellEnd"/>
      <w:r w:rsidR="00030960">
        <w:t xml:space="preserve">, Dracula’s first London residence, and the phenomena that he records are the symptoms of madness exhibited by Renfield, his ‘pet’ lunatic. </w:t>
      </w:r>
      <w:proofErr w:type="spellStart"/>
      <w:r w:rsidR="00030960">
        <w:t>Dr</w:t>
      </w:r>
      <w:proofErr w:type="spellEnd"/>
      <w:r w:rsidR="00030960">
        <w:t xml:space="preserve"> Seward’s diary, with its comment ‘Kept in phonograph’, which accompanies the first entry, is one of several reminders that we are in the </w:t>
      </w:r>
      <w:proofErr w:type="spellStart"/>
      <w:r w:rsidR="00030960">
        <w:t>mechanised</w:t>
      </w:r>
      <w:proofErr w:type="spellEnd"/>
      <w:r w:rsidR="00030960">
        <w:t xml:space="preserve"> world of the late nineteenth century, but there are features of the text’s rhetoric that reduce its contemporaneity. For instance, Seward’s position as one of three suitors who all propose to Lucy </w:t>
      </w:r>
      <w:proofErr w:type="spellStart"/>
      <w:r w:rsidR="00030960">
        <w:t>Westenra</w:t>
      </w:r>
      <w:proofErr w:type="spellEnd"/>
      <w:r w:rsidR="00030960">
        <w:t xml:space="preserve"> on the same day puts him in a fairy-tale situation, and the parallels with the earlier journal of Jonathan </w:t>
      </w:r>
      <w:proofErr w:type="spellStart"/>
      <w:r w:rsidR="00030960">
        <w:t>Harker</w:t>
      </w:r>
      <w:proofErr w:type="spellEnd"/>
      <w:r w:rsidR="00030960">
        <w:t xml:space="preserve"> add further allusions which strengthen the suggestion of fantasy. In his determination to find consolation in work and in particular to understand the unusual lunatic, Renfield, Seward follows in his own way the pattern set by </w:t>
      </w:r>
      <w:proofErr w:type="spellStart"/>
      <w:r w:rsidR="00030960">
        <w:t>Harker</w:t>
      </w:r>
      <w:proofErr w:type="spellEnd"/>
      <w:r w:rsidR="00030960">
        <w:t>, for whom keeping a journal ‘becomes a therapeutic act of self</w:t>
      </w:r>
      <w:r w:rsidR="00C044D9">
        <w:t>-</w:t>
      </w:r>
      <w:r w:rsidR="00030960">
        <w:t>preservation’. For both it is a means of exerting some control in circumstances that highlight their vulnerability.</w:t>
      </w:r>
    </w:p>
    <w:p w:rsidR="00030960" w:rsidRDefault="005D488A">
      <w:r>
        <w:t xml:space="preserve">(2) </w:t>
      </w:r>
      <w:r w:rsidR="00030960">
        <w:t>In this first outlining of the mystery presented by the madman, Seward draws on the terms conventionally employed in the discourse of madness, but without noticeable coherence. He remarks on the need to make himself ‘master of the facts of his [Renfield’s] hallucination’, describes him as being of a ‘sanguine temperament’ and then gives details of his swings of mood from morbid exc</w:t>
      </w:r>
      <w:r w:rsidR="009222F9">
        <w:t>itability to periods of gloom.</w:t>
      </w:r>
      <w:r w:rsidR="00030960">
        <w:t xml:space="preserve"> Hallucinations had long been established as one of the standard symptoms of insanity, but the concept is not particularly pertinent to Renfield’s madness and is not mentioned again in connection with him, though, as I shall later discuss, it is of relevance to the text more generally. The reference to a ‘sanguine temperament’, on the other hand, recalls the ancient </w:t>
      </w:r>
      <w:proofErr w:type="spellStart"/>
      <w:r w:rsidR="00030960">
        <w:t>humours</w:t>
      </w:r>
      <w:proofErr w:type="spellEnd"/>
      <w:r w:rsidR="00030960">
        <w:t>-based theory of personality</w:t>
      </w:r>
      <w:r w:rsidR="009222F9">
        <w:rPr>
          <w:rStyle w:val="FootnoteReference"/>
        </w:rPr>
        <w:footnoteReference w:id="2"/>
      </w:r>
      <w:r w:rsidR="00030960">
        <w:t>, which usefully introduces the motif of blood, and this is combined with more contemporary ideas of mood and t</w:t>
      </w:r>
      <w:r w:rsidR="00C044D9">
        <w:t>he notion of manic-depression.</w:t>
      </w:r>
      <w:r w:rsidR="00030960">
        <w:t xml:space="preserve"> Already the text gives signs of swinging between old wisdom and superstition, on the one hand, and, on the other, late nineteenth-century rationality and positivism</w:t>
      </w:r>
      <w:r w:rsidR="00C044D9">
        <w:rPr>
          <w:rStyle w:val="FootnoteReference"/>
        </w:rPr>
        <w:footnoteReference w:id="3"/>
      </w:r>
      <w:r w:rsidR="00030960">
        <w:t xml:space="preserve">. This is in fact a key feature of the text and madness becomes a crucial arena for the interplay of the two modes of interpretation and understanding, just as it does for the </w:t>
      </w:r>
      <w:r w:rsidR="00030960" w:rsidRPr="00D6329D">
        <w:rPr>
          <w:b/>
        </w:rPr>
        <w:t>oscillation</w:t>
      </w:r>
      <w:r w:rsidR="00030960">
        <w:t xml:space="preserve"> between realism and fantasy. Seward presumes that Renfield’s madness is the result of some ‘disturbing influence’ on the sanguine temperament, the two together giving ‘a mentally-accomplished finish’. Just what this means is unclear, but it does give the impression that once all the operative factors have been determined, the case of Renfield will become comprehensible. As a case study, then, Renfield has an analogous position in the text to that of Dracula. Both represent phenomena underlying which, it is assumed, there is a coherent pattern to be discovered provided one follows the correct procedure of sharp observation, meticulous record keeping and logical deduction.</w:t>
      </w:r>
    </w:p>
    <w:p w:rsidR="00030960" w:rsidRDefault="005D488A">
      <w:r>
        <w:t xml:space="preserve">(3) </w:t>
      </w:r>
      <w:r w:rsidR="00030960">
        <w:t>Renfield’s scheme of collecting and eating flies, then spiders, then sparrows, which has culminated in a request for a kitten leads Seward to the hypothesis that he is an undeveloped homicidal maniac who, like the old lady in the nursery rhyme</w:t>
      </w:r>
      <w:r w:rsidR="00C044D9">
        <w:rPr>
          <w:rStyle w:val="FootnoteReference"/>
        </w:rPr>
        <w:footnoteReference w:id="4"/>
      </w:r>
      <w:r w:rsidR="00030960">
        <w:t>, is working his way up a hierarchy of consumption in the interests of absorbing as many lives as he can through a cumulative process. Having confirmed this hypothesis by offering Renfield a cat as a preferable, because more vivacious (that is, containing more life) alternative to a kitten, Seward invents a new classification for the lunatic and calls him ‘a zoophago</w:t>
      </w:r>
      <w:r w:rsidR="00C044D9">
        <w:t>us (life-eating) maniac’</w:t>
      </w:r>
      <w:r w:rsidR="00030960">
        <w:t>. This term was not part of nineteenth-century nosology</w:t>
      </w:r>
      <w:r w:rsidR="00C044D9">
        <w:rPr>
          <w:rStyle w:val="FootnoteReference"/>
        </w:rPr>
        <w:footnoteReference w:id="5"/>
      </w:r>
      <w:r w:rsidR="00030960">
        <w:t xml:space="preserve">, but is borrowed from natural science, and the transference underlines the degree to which Renfield is seen as an animal, a specimen for the scientist to observe and </w:t>
      </w:r>
      <w:r w:rsidR="00030960">
        <w:lastRenderedPageBreak/>
        <w:t>catalogue, a not unusual attitude in Victorian medicine. Renfield’s blood lust thus establishes him as a ready-made acolyte</w:t>
      </w:r>
      <w:r w:rsidR="00C044D9">
        <w:rPr>
          <w:rStyle w:val="FootnoteReference"/>
        </w:rPr>
        <w:footnoteReference w:id="6"/>
      </w:r>
      <w:r w:rsidR="00030960">
        <w:t xml:space="preserve"> for Dracula. For neither is the absorption of blood necessary to sustain life, since the vampire is immortal, and the lunatic, being alive, still has access to more normal means of sustenance. In Renfield’s case his </w:t>
      </w:r>
      <w:proofErr w:type="spellStart"/>
      <w:r w:rsidR="00030960">
        <w:t>zoophagy</w:t>
      </w:r>
      <w:proofErr w:type="spellEnd"/>
      <w:r w:rsidR="00030960">
        <w:t xml:space="preserve"> is an attempt to eat his way up the Great Chain of Being</w:t>
      </w:r>
      <w:r w:rsidR="00C044D9">
        <w:rPr>
          <w:rStyle w:val="FootnoteReference"/>
        </w:rPr>
        <w:footnoteReference w:id="7"/>
      </w:r>
      <w:r w:rsidR="00030960">
        <w:t>, in the hope that by absorb</w:t>
      </w:r>
      <w:r w:rsidR="000B6941">
        <w:t>ing other lives he will indefi</w:t>
      </w:r>
      <w:r w:rsidR="00030960">
        <w:t xml:space="preserve">nitely prolong his own; it takes the rationale of food to an illogical conclusion, by assuming that ‘life’ is a quantifiable commodity, capable of indefinite prolongation. Taboos, though frequently validated in terms of religion, are a matter of social expedience. The taboo that Renfield is breaking focuses attention on the subject of food and the distinction between the eating of flesh purely for the purposes of sustaining life and the drinking of blood for the purposes of increasing power: ‘I don’t want souls, indeed, indeed! I don’t. I couldn’t use them if I had them! </w:t>
      </w:r>
      <w:proofErr w:type="gramStart"/>
      <w:r w:rsidR="00030960">
        <w:t>they</w:t>
      </w:r>
      <w:proofErr w:type="gramEnd"/>
      <w:r w:rsidR="00030960">
        <w:t xml:space="preserve"> would be no manner of use to me.</w:t>
      </w:r>
      <w:r w:rsidR="000B6941">
        <w:t xml:space="preserve"> I couldn’t eat them …</w:t>
      </w:r>
      <w:proofErr w:type="gramStart"/>
      <w:r w:rsidR="000B6941">
        <w:t>’</w:t>
      </w:r>
      <w:r w:rsidR="00030960">
        <w:t>.</w:t>
      </w:r>
      <w:proofErr w:type="gramEnd"/>
      <w:r w:rsidR="00030960">
        <w:t xml:space="preserve"> His repeated cry, ‘The blood is the life’ is in fact taken from D</w:t>
      </w:r>
      <w:r w:rsidR="000B6941">
        <w:t>euteronomy</w:t>
      </w:r>
      <w:r w:rsidR="000B6941">
        <w:rPr>
          <w:rStyle w:val="FootnoteReference"/>
        </w:rPr>
        <w:footnoteReference w:id="8"/>
      </w:r>
      <w:r w:rsidR="00030960">
        <w:t xml:space="preserve"> and is an invocation of the Judaic belief, shared by other races, that blood literally is the source of life. Renfield thus breaks the taboo which the Old Testament imposes on the eating of flesh unless it has been properly drained</w:t>
      </w:r>
      <w:r w:rsidR="000B6941">
        <w:rPr>
          <w:rStyle w:val="FootnoteReference"/>
        </w:rPr>
        <w:footnoteReference w:id="9"/>
      </w:r>
      <w:r w:rsidR="00030960">
        <w:t>, but his desire for blood, together with his worship of the Master also parallels the figurative reincarnation of the belief in the Christian Eucharist</w:t>
      </w:r>
      <w:r w:rsidR="000B6941">
        <w:rPr>
          <w:rStyle w:val="FootnoteReference"/>
        </w:rPr>
        <w:footnoteReference w:id="10"/>
      </w:r>
      <w:r w:rsidR="00030960">
        <w:t>. Since, however, the Catholic doctrine of transubstantiation holds that in receiving communion wine the communicant is drinking the blood of Christ, Renfield’s abstention from lower life forms in the promise of something better (Seward deduces that Dracula has promised</w:t>
      </w:r>
      <w:r w:rsidR="002B084F">
        <w:t xml:space="preserve"> him a human life) seems a parody</w:t>
      </w:r>
      <w:r w:rsidR="00030960">
        <w:t xml:space="preserve"> of conventional religious beliefs only to the extent that his drinking necessitates a preliminary killing for that specific purpose. Renfield’s madness, in fact, returns to literality what has become a figurative practice.</w:t>
      </w:r>
    </w:p>
    <w:p w:rsidR="00030960" w:rsidRDefault="005D488A" w:rsidP="00030960">
      <w:r>
        <w:t xml:space="preserve">(4) </w:t>
      </w:r>
      <w:r w:rsidR="00030960" w:rsidRPr="005D488A">
        <w:rPr>
          <w:i/>
        </w:rPr>
        <w:t>Dracula</w:t>
      </w:r>
      <w:r w:rsidR="00030960">
        <w:t xml:space="preserve"> does not […] offer an explicit condemnation of the medical profession, but there seems to be</w:t>
      </w:r>
      <w:r w:rsidR="003B0054">
        <w:t xml:space="preserve"> implicit criticism, not only in this depiction of the medical scientist risking human cruelty in the course of advancing knowledge, but also in the failure of Seward (and Van </w:t>
      </w:r>
      <w:proofErr w:type="spellStart"/>
      <w:r w:rsidR="003B0054">
        <w:t>Helsing</w:t>
      </w:r>
      <w:proofErr w:type="spellEnd"/>
      <w:r w:rsidR="003B0054">
        <w:t xml:space="preserve">) to </w:t>
      </w:r>
      <w:proofErr w:type="spellStart"/>
      <w:r w:rsidR="003B0054">
        <w:t>recognise</w:t>
      </w:r>
      <w:proofErr w:type="spellEnd"/>
      <w:r w:rsidR="003B0054">
        <w:t xml:space="preserve"> and respond to the urgency of Renfield’s pleas to be removed from the asylum. </w:t>
      </w:r>
      <w:r w:rsidR="000B6941">
        <w:t>[…]</w:t>
      </w:r>
      <w:r w:rsidR="003B0054">
        <w:t xml:space="preserve"> Stoker testifies to the stranglehold that the label of madness exerts; Renfield’s vehemence in pleading not even for release, but simply to be moved elsewhere, is seen, partly because he is unable to advance a reason, as further evidence of insanity rather than as a legitimate response to circumstances. In his introduction to </w:t>
      </w:r>
      <w:r w:rsidR="003B0054" w:rsidRPr="000B6941">
        <w:rPr>
          <w:i/>
        </w:rPr>
        <w:t>A Social History of Madness</w:t>
      </w:r>
      <w:r w:rsidR="003B0054">
        <w:t xml:space="preserve">, Roy Porter writes of the difficulties of communication faced by people who have been designated mad, since their protests ‘have been interpreted </w:t>
      </w:r>
      <w:r w:rsidR="000B6941">
        <w:t>as symptoms of their madness’.</w:t>
      </w:r>
      <w:r w:rsidR="003B0054">
        <w:t xml:space="preserve"> Yet, he maintains, the stories of the mad do relate to the world around them, and should not be ignored: ‘The writings of the mad challenge the discourse of the normal [and] </w:t>
      </w:r>
      <w:r>
        <w:t xml:space="preserve">the assumption that there exist </w:t>
      </w:r>
      <w:r w:rsidR="003B0054">
        <w:t>definitive and unitary standards of truth and falsehood, reality and delusion, is p</w:t>
      </w:r>
      <w:r>
        <w:t>ut to the test.’</w:t>
      </w:r>
      <w:r w:rsidR="003B0054">
        <w:t xml:space="preserve"> As a zoophagous maniac, Renfield’s every utterance and movement is a clue to happenings in the larger world of Dracula’s invasion and significance is thus attached to him even before it is quite </w:t>
      </w:r>
      <w:proofErr w:type="spellStart"/>
      <w:r w:rsidR="003B0054">
        <w:t>realised</w:t>
      </w:r>
      <w:proofErr w:type="spellEnd"/>
      <w:r w:rsidR="003B0054">
        <w:t xml:space="preserve"> what he signifies. ‘If normality condemns madness as irrational, subhuman, perverse’, as Porter puts it, then the subhuman, perverse world that Dracula inhabits is s</w:t>
      </w:r>
      <w:r w:rsidR="000B6941">
        <w:t>imilarly condemned as madness.</w:t>
      </w:r>
      <w:r w:rsidR="003B0054">
        <w:t xml:space="preserve"> Ironically, it is only when Renfield is speaking with apparent rationality that he is distrusted, since his alignment with the vampire has been taken for granted. Stoker thus stresses the fact that it is precisely madness that enables Dracula to make an ally of Renfield.</w:t>
      </w:r>
    </w:p>
    <w:p w:rsidR="002924FE" w:rsidRDefault="002924FE" w:rsidP="00030960"/>
    <w:p w:rsidR="002924FE" w:rsidRDefault="002924FE">
      <w:r>
        <w:br w:type="page"/>
      </w:r>
    </w:p>
    <w:p w:rsidR="002B084F" w:rsidRDefault="002B084F" w:rsidP="002B084F">
      <w:pPr>
        <w:pStyle w:val="ListParagraph"/>
        <w:jc w:val="center"/>
      </w:pPr>
      <w:r>
        <w:lastRenderedPageBreak/>
        <w:t>“The Zoophagous Maniac” Multiple Choice Questions</w:t>
      </w:r>
    </w:p>
    <w:p w:rsidR="002B084F" w:rsidRDefault="002B084F" w:rsidP="002B084F">
      <w:pPr>
        <w:pStyle w:val="ListParagraph"/>
        <w:jc w:val="center"/>
      </w:pPr>
    </w:p>
    <w:p w:rsidR="004364E7" w:rsidRDefault="004364E7" w:rsidP="002924FE">
      <w:pPr>
        <w:pStyle w:val="ListParagraph"/>
        <w:numPr>
          <w:ilvl w:val="0"/>
          <w:numId w:val="1"/>
        </w:numPr>
      </w:pPr>
      <w:r>
        <w:t>The author’s purpose in writing this piece is…</w:t>
      </w:r>
    </w:p>
    <w:p w:rsidR="004364E7" w:rsidRDefault="002B084F" w:rsidP="004364E7">
      <w:pPr>
        <w:pStyle w:val="ListParagraph"/>
        <w:numPr>
          <w:ilvl w:val="0"/>
          <w:numId w:val="7"/>
        </w:numPr>
      </w:pPr>
      <w:proofErr w:type="gramStart"/>
      <w:r>
        <w:t>provide</w:t>
      </w:r>
      <w:proofErr w:type="gramEnd"/>
      <w:r>
        <w:t xml:space="preserve"> a summary of what happens in the novel.</w:t>
      </w:r>
    </w:p>
    <w:p w:rsidR="002B084F" w:rsidRDefault="002B084F" w:rsidP="004364E7">
      <w:pPr>
        <w:pStyle w:val="ListParagraph"/>
        <w:numPr>
          <w:ilvl w:val="0"/>
          <w:numId w:val="7"/>
        </w:numPr>
      </w:pPr>
      <w:proofErr w:type="gramStart"/>
      <w:r>
        <w:t>suggest</w:t>
      </w:r>
      <w:proofErr w:type="gramEnd"/>
      <w:r>
        <w:t xml:space="preserve"> how the novel could be improved.</w:t>
      </w:r>
    </w:p>
    <w:p w:rsidR="002B084F" w:rsidRDefault="002B084F" w:rsidP="004364E7">
      <w:pPr>
        <w:pStyle w:val="ListParagraph"/>
        <w:numPr>
          <w:ilvl w:val="0"/>
          <w:numId w:val="7"/>
        </w:numPr>
      </w:pPr>
      <w:proofErr w:type="gramStart"/>
      <w:r>
        <w:t>evaluate</w:t>
      </w:r>
      <w:proofErr w:type="gramEnd"/>
      <w:r>
        <w:t xml:space="preserve"> whether or not the novel is a good piece of literature.</w:t>
      </w:r>
    </w:p>
    <w:p w:rsidR="002B084F" w:rsidRDefault="002B084F" w:rsidP="004364E7">
      <w:pPr>
        <w:pStyle w:val="ListParagraph"/>
        <w:numPr>
          <w:ilvl w:val="0"/>
          <w:numId w:val="7"/>
        </w:numPr>
      </w:pPr>
      <w:proofErr w:type="gramStart"/>
      <w:r>
        <w:t>offer</w:t>
      </w:r>
      <w:proofErr w:type="gramEnd"/>
      <w:r>
        <w:t xml:space="preserve"> an interpretation of the novel’s meaning.</w:t>
      </w:r>
    </w:p>
    <w:p w:rsidR="002B084F" w:rsidRDefault="002B084F" w:rsidP="002B084F">
      <w:pPr>
        <w:pStyle w:val="ListParagraph"/>
        <w:ind w:left="1080"/>
      </w:pPr>
    </w:p>
    <w:p w:rsidR="00413A9F" w:rsidRDefault="00413A9F" w:rsidP="00413A9F">
      <w:pPr>
        <w:pStyle w:val="ListParagraph"/>
        <w:numPr>
          <w:ilvl w:val="0"/>
          <w:numId w:val="1"/>
        </w:numPr>
      </w:pPr>
      <w:r>
        <w:t>According to the author, what is the advantage of the different forms of text (“</w:t>
      </w:r>
      <w:r w:rsidRPr="00413A9F">
        <w:t>diary entries, letters and newspaper reports</w:t>
      </w:r>
      <w:r>
        <w:t>”) that compose the novel?</w:t>
      </w:r>
    </w:p>
    <w:p w:rsidR="00413A9F" w:rsidRDefault="00413A9F" w:rsidP="00413A9F">
      <w:pPr>
        <w:pStyle w:val="ListParagraph"/>
        <w:numPr>
          <w:ilvl w:val="0"/>
          <w:numId w:val="11"/>
        </w:numPr>
      </w:pPr>
      <w:r>
        <w:t>The different forms make the story more interesting and suspenseful by giving the reader different characters’ perspectives.</w:t>
      </w:r>
    </w:p>
    <w:p w:rsidR="00413A9F" w:rsidRDefault="00413A9F" w:rsidP="00413A9F">
      <w:pPr>
        <w:pStyle w:val="ListParagraph"/>
        <w:numPr>
          <w:ilvl w:val="0"/>
          <w:numId w:val="11"/>
        </w:numPr>
      </w:pPr>
      <w:r>
        <w:t>The different forms allow Dracula’s enemies</w:t>
      </w:r>
      <w:r w:rsidR="00195FC4">
        <w:t xml:space="preserve"> (and, by proxy, the reader)</w:t>
      </w:r>
      <w:r>
        <w:t xml:space="preserve"> to work together to piece together important information that allow them to fight him.</w:t>
      </w:r>
    </w:p>
    <w:p w:rsidR="00413A9F" w:rsidRDefault="00413A9F" w:rsidP="00413A9F">
      <w:pPr>
        <w:pStyle w:val="ListParagraph"/>
        <w:numPr>
          <w:ilvl w:val="0"/>
          <w:numId w:val="11"/>
        </w:numPr>
      </w:pPr>
      <w:r>
        <w:t>The different forms convince the reader that the world of the novel is modern and contemporary.</w:t>
      </w:r>
    </w:p>
    <w:p w:rsidR="00413A9F" w:rsidRDefault="00195FC4" w:rsidP="00413A9F">
      <w:pPr>
        <w:pStyle w:val="ListParagraph"/>
        <w:numPr>
          <w:ilvl w:val="0"/>
          <w:numId w:val="11"/>
        </w:numPr>
      </w:pPr>
      <w:r>
        <w:t>The different forms support the novel’s theme that faith is superior to reason.</w:t>
      </w:r>
    </w:p>
    <w:p w:rsidR="00195FC4" w:rsidRDefault="00195FC4" w:rsidP="00195FC4">
      <w:pPr>
        <w:pStyle w:val="ListParagraph"/>
        <w:ind w:left="1080"/>
      </w:pPr>
    </w:p>
    <w:p w:rsidR="002924FE" w:rsidRDefault="002924FE" w:rsidP="002924FE">
      <w:pPr>
        <w:pStyle w:val="ListParagraph"/>
        <w:numPr>
          <w:ilvl w:val="0"/>
          <w:numId w:val="1"/>
        </w:numPr>
      </w:pPr>
      <w:r>
        <w:t xml:space="preserve">According to the author, what do Seward and </w:t>
      </w:r>
      <w:proofErr w:type="spellStart"/>
      <w:r>
        <w:t>Harker</w:t>
      </w:r>
      <w:proofErr w:type="spellEnd"/>
      <w:r>
        <w:t xml:space="preserve"> have in common?</w:t>
      </w:r>
    </w:p>
    <w:p w:rsidR="002924FE" w:rsidRDefault="004034B6" w:rsidP="002924FE">
      <w:pPr>
        <w:pStyle w:val="ListParagraph"/>
        <w:numPr>
          <w:ilvl w:val="0"/>
          <w:numId w:val="3"/>
        </w:numPr>
      </w:pPr>
      <w:r>
        <w:t>T</w:t>
      </w:r>
      <w:r w:rsidR="002924FE">
        <w:t>hey both have fairy tale romances</w:t>
      </w:r>
      <w:r>
        <w:t>.</w:t>
      </w:r>
    </w:p>
    <w:p w:rsidR="002924FE" w:rsidRDefault="004034B6" w:rsidP="002924FE">
      <w:pPr>
        <w:pStyle w:val="ListParagraph"/>
        <w:numPr>
          <w:ilvl w:val="0"/>
          <w:numId w:val="3"/>
        </w:numPr>
      </w:pPr>
      <w:r>
        <w:t>T</w:t>
      </w:r>
      <w:r w:rsidR="002924FE">
        <w:t>hey both find writing helps them deal with stress</w:t>
      </w:r>
      <w:r>
        <w:t>.</w:t>
      </w:r>
    </w:p>
    <w:p w:rsidR="002924FE" w:rsidRDefault="004034B6" w:rsidP="002924FE">
      <w:pPr>
        <w:pStyle w:val="ListParagraph"/>
        <w:numPr>
          <w:ilvl w:val="0"/>
          <w:numId w:val="3"/>
        </w:numPr>
      </w:pPr>
      <w:r>
        <w:t>T</w:t>
      </w:r>
      <w:r w:rsidR="002924FE">
        <w:t>hey both believe in the power of reason over superstition</w:t>
      </w:r>
      <w:r>
        <w:t>.</w:t>
      </w:r>
    </w:p>
    <w:p w:rsidR="002924FE" w:rsidRDefault="004034B6" w:rsidP="002924FE">
      <w:pPr>
        <w:pStyle w:val="ListParagraph"/>
        <w:numPr>
          <w:ilvl w:val="0"/>
          <w:numId w:val="3"/>
        </w:numPr>
      </w:pPr>
      <w:r>
        <w:t>T</w:t>
      </w:r>
      <w:r w:rsidR="002924FE">
        <w:t>hey both prefer the modern world to the traditional one</w:t>
      </w:r>
      <w:r>
        <w:t>.</w:t>
      </w:r>
    </w:p>
    <w:p w:rsidR="002B084F" w:rsidRDefault="002B084F" w:rsidP="002B084F">
      <w:pPr>
        <w:pStyle w:val="ListParagraph"/>
        <w:ind w:left="1080"/>
      </w:pPr>
    </w:p>
    <w:p w:rsidR="00D6329D" w:rsidRDefault="00D6329D" w:rsidP="00D6329D">
      <w:pPr>
        <w:pStyle w:val="ListParagraph"/>
        <w:numPr>
          <w:ilvl w:val="0"/>
          <w:numId w:val="1"/>
        </w:numPr>
      </w:pPr>
      <w:r>
        <w:t>Which is the best definition of the word “oscillation” as it is used in paragraph 2?</w:t>
      </w:r>
    </w:p>
    <w:p w:rsidR="00D6329D" w:rsidRDefault="00D6329D" w:rsidP="00D6329D">
      <w:pPr>
        <w:pStyle w:val="ListParagraph"/>
        <w:numPr>
          <w:ilvl w:val="0"/>
          <w:numId w:val="12"/>
        </w:numPr>
      </w:pPr>
      <w:r>
        <w:t>to swing back and forth with a steady, uninterrupted rhythm</w:t>
      </w:r>
    </w:p>
    <w:p w:rsidR="00D6329D" w:rsidRDefault="00D6329D" w:rsidP="00D6329D">
      <w:pPr>
        <w:pStyle w:val="ListParagraph"/>
        <w:numPr>
          <w:ilvl w:val="0"/>
          <w:numId w:val="12"/>
        </w:numPr>
      </w:pPr>
      <w:r>
        <w:t>to waver, as between conflicting opinions or courses of action; vacillate</w:t>
      </w:r>
    </w:p>
    <w:p w:rsidR="00D6329D" w:rsidRDefault="00D6329D" w:rsidP="00D6329D">
      <w:pPr>
        <w:pStyle w:val="ListParagraph"/>
        <w:numPr>
          <w:ilvl w:val="0"/>
          <w:numId w:val="12"/>
        </w:numPr>
      </w:pPr>
      <w:r w:rsidRPr="00D6329D">
        <w:t>to vary between maximum and minimum values, as of a</w:t>
      </w:r>
      <w:r>
        <w:t xml:space="preserve"> cycle or mathematical function</w:t>
      </w:r>
    </w:p>
    <w:p w:rsidR="00D6329D" w:rsidRDefault="00D6329D" w:rsidP="00D6329D">
      <w:pPr>
        <w:pStyle w:val="ListParagraph"/>
        <w:numPr>
          <w:ilvl w:val="0"/>
          <w:numId w:val="12"/>
        </w:numPr>
      </w:pPr>
      <w:r w:rsidRPr="00D6329D">
        <w:t>to cause to move to and fro; vibra</w:t>
      </w:r>
      <w:r>
        <w:t>te</w:t>
      </w:r>
    </w:p>
    <w:p w:rsidR="00D6329D" w:rsidRDefault="00D6329D" w:rsidP="00D6329D">
      <w:pPr>
        <w:pStyle w:val="ListParagraph"/>
        <w:ind w:left="1080"/>
      </w:pPr>
    </w:p>
    <w:p w:rsidR="002924FE" w:rsidRDefault="002924FE" w:rsidP="002924FE">
      <w:pPr>
        <w:pStyle w:val="ListParagraph"/>
        <w:numPr>
          <w:ilvl w:val="0"/>
          <w:numId w:val="1"/>
        </w:numPr>
      </w:pPr>
      <w:r>
        <w:t>The reader can infer that the author believes that Dr. Seward’s treatment of Renfield is…</w:t>
      </w:r>
    </w:p>
    <w:p w:rsidR="002924FE" w:rsidRDefault="00A90FF2" w:rsidP="002924FE">
      <w:pPr>
        <w:pStyle w:val="ListParagraph"/>
        <w:numPr>
          <w:ilvl w:val="0"/>
          <w:numId w:val="4"/>
        </w:numPr>
      </w:pPr>
      <w:proofErr w:type="gramStart"/>
      <w:r>
        <w:t>inhumane</w:t>
      </w:r>
      <w:proofErr w:type="gramEnd"/>
      <w:r>
        <w:t>.</w:t>
      </w:r>
    </w:p>
    <w:p w:rsidR="002924FE" w:rsidRDefault="002924FE" w:rsidP="002924FE">
      <w:pPr>
        <w:pStyle w:val="ListParagraph"/>
        <w:numPr>
          <w:ilvl w:val="0"/>
          <w:numId w:val="4"/>
        </w:numPr>
      </w:pPr>
      <w:proofErr w:type="gramStart"/>
      <w:r>
        <w:t>compassionate</w:t>
      </w:r>
      <w:proofErr w:type="gramEnd"/>
      <w:r w:rsidR="00A90FF2">
        <w:t>.</w:t>
      </w:r>
    </w:p>
    <w:p w:rsidR="002924FE" w:rsidRDefault="002924FE" w:rsidP="002924FE">
      <w:pPr>
        <w:pStyle w:val="ListParagraph"/>
        <w:numPr>
          <w:ilvl w:val="0"/>
          <w:numId w:val="4"/>
        </w:numPr>
      </w:pPr>
      <w:proofErr w:type="gramStart"/>
      <w:r>
        <w:t>sloppy</w:t>
      </w:r>
      <w:proofErr w:type="gramEnd"/>
      <w:r w:rsidR="00A90FF2">
        <w:t>.</w:t>
      </w:r>
    </w:p>
    <w:p w:rsidR="002924FE" w:rsidRDefault="002924FE" w:rsidP="002924FE">
      <w:pPr>
        <w:pStyle w:val="ListParagraph"/>
        <w:numPr>
          <w:ilvl w:val="0"/>
          <w:numId w:val="4"/>
        </w:numPr>
      </w:pPr>
      <w:proofErr w:type="gramStart"/>
      <w:r>
        <w:t>superstitious</w:t>
      </w:r>
      <w:proofErr w:type="gramEnd"/>
      <w:r w:rsidR="00A90FF2">
        <w:t>.</w:t>
      </w:r>
    </w:p>
    <w:p w:rsidR="002B084F" w:rsidRDefault="002B084F" w:rsidP="002B084F">
      <w:pPr>
        <w:pStyle w:val="ListParagraph"/>
        <w:ind w:left="1080"/>
      </w:pPr>
    </w:p>
    <w:p w:rsidR="002924FE" w:rsidRDefault="002924FE" w:rsidP="002924FE">
      <w:pPr>
        <w:pStyle w:val="ListParagraph"/>
        <w:numPr>
          <w:ilvl w:val="0"/>
          <w:numId w:val="1"/>
        </w:numPr>
      </w:pPr>
      <w:r>
        <w:t>According to the author, how does the setting of the novel create a conflict within the major characters?</w:t>
      </w:r>
    </w:p>
    <w:p w:rsidR="002924FE" w:rsidRDefault="00A90FF2" w:rsidP="002924FE">
      <w:pPr>
        <w:pStyle w:val="ListParagraph"/>
        <w:numPr>
          <w:ilvl w:val="0"/>
          <w:numId w:val="5"/>
        </w:numPr>
      </w:pPr>
      <w:r>
        <w:t>The novel is set during</w:t>
      </w:r>
      <w:r w:rsidR="002924FE">
        <w:t xml:space="preserve"> a period in between </w:t>
      </w:r>
      <w:r>
        <w:t>reason and superstition as the dominant ways of understanding the world.</w:t>
      </w:r>
    </w:p>
    <w:p w:rsidR="00A90FF2" w:rsidRDefault="00A90FF2" w:rsidP="002924FE">
      <w:pPr>
        <w:pStyle w:val="ListParagraph"/>
        <w:numPr>
          <w:ilvl w:val="0"/>
          <w:numId w:val="5"/>
        </w:numPr>
      </w:pPr>
      <w:r>
        <w:t>The novel is set during a period when people began to feel anxious about new forms of technology.</w:t>
      </w:r>
    </w:p>
    <w:p w:rsidR="00A90FF2" w:rsidRDefault="00A90FF2" w:rsidP="002924FE">
      <w:pPr>
        <w:pStyle w:val="ListParagraph"/>
        <w:numPr>
          <w:ilvl w:val="0"/>
          <w:numId w:val="5"/>
        </w:numPr>
      </w:pPr>
      <w:r>
        <w:t>The novel is set during a period in which people were beginning to question old beliefs about religion.</w:t>
      </w:r>
    </w:p>
    <w:p w:rsidR="00A90FF2" w:rsidRDefault="00A90FF2" w:rsidP="002924FE">
      <w:pPr>
        <w:pStyle w:val="ListParagraph"/>
        <w:numPr>
          <w:ilvl w:val="0"/>
          <w:numId w:val="5"/>
        </w:numPr>
      </w:pPr>
      <w:r>
        <w:t>The novel is set during a period when people did not understand what caused mental illness.</w:t>
      </w:r>
    </w:p>
    <w:p w:rsidR="002B084F" w:rsidRDefault="002B084F" w:rsidP="002B084F">
      <w:pPr>
        <w:pStyle w:val="ListParagraph"/>
        <w:ind w:left="1080"/>
      </w:pPr>
    </w:p>
    <w:p w:rsidR="00C13124" w:rsidRDefault="00C13124" w:rsidP="002B084F">
      <w:pPr>
        <w:pStyle w:val="ListParagraph"/>
        <w:ind w:left="1080"/>
      </w:pPr>
    </w:p>
    <w:p w:rsidR="00C13124" w:rsidRDefault="00C13124" w:rsidP="002B084F">
      <w:pPr>
        <w:pStyle w:val="ListParagraph"/>
        <w:ind w:left="1080"/>
      </w:pPr>
    </w:p>
    <w:p w:rsidR="00C13124" w:rsidRDefault="00C13124" w:rsidP="002B084F">
      <w:pPr>
        <w:pStyle w:val="ListParagraph"/>
        <w:ind w:left="1080"/>
      </w:pPr>
    </w:p>
    <w:p w:rsidR="00C13124" w:rsidRDefault="00C13124" w:rsidP="002B084F">
      <w:pPr>
        <w:pStyle w:val="ListParagraph"/>
        <w:ind w:left="1080"/>
      </w:pPr>
    </w:p>
    <w:p w:rsidR="00C13124" w:rsidRDefault="00C13124" w:rsidP="002B084F">
      <w:pPr>
        <w:pStyle w:val="ListParagraph"/>
        <w:ind w:left="1080"/>
      </w:pPr>
    </w:p>
    <w:p w:rsidR="00C13124" w:rsidRDefault="00C13124" w:rsidP="002B084F">
      <w:pPr>
        <w:pStyle w:val="ListParagraph"/>
        <w:ind w:left="1080"/>
      </w:pPr>
    </w:p>
    <w:p w:rsidR="00C13124" w:rsidRDefault="00C13124" w:rsidP="002B084F">
      <w:pPr>
        <w:pStyle w:val="ListParagraph"/>
        <w:ind w:left="1080"/>
      </w:pPr>
    </w:p>
    <w:p w:rsidR="00C13124" w:rsidRDefault="00C13124" w:rsidP="002B084F">
      <w:pPr>
        <w:pStyle w:val="ListParagraph"/>
        <w:ind w:left="1080"/>
      </w:pPr>
    </w:p>
    <w:p w:rsidR="00C13124" w:rsidRDefault="00C13124" w:rsidP="002B084F">
      <w:pPr>
        <w:pStyle w:val="ListParagraph"/>
        <w:ind w:left="1080"/>
      </w:pPr>
    </w:p>
    <w:p w:rsidR="00C13124" w:rsidRDefault="00C13124" w:rsidP="002B084F">
      <w:pPr>
        <w:pStyle w:val="ListParagraph"/>
        <w:ind w:left="1080"/>
      </w:pPr>
      <w:r>
        <w:t>(over)</w:t>
      </w:r>
      <w:bookmarkStart w:id="0" w:name="_GoBack"/>
      <w:bookmarkEnd w:id="0"/>
    </w:p>
    <w:p w:rsidR="002924FE" w:rsidRDefault="004034B6" w:rsidP="002924FE">
      <w:pPr>
        <w:pStyle w:val="ListParagraph"/>
        <w:numPr>
          <w:ilvl w:val="0"/>
          <w:numId w:val="1"/>
        </w:numPr>
      </w:pPr>
      <w:r>
        <w:lastRenderedPageBreak/>
        <w:t xml:space="preserve">Which quotation provides the best evidence that the author is skeptical of </w:t>
      </w:r>
      <w:r w:rsidR="00A90FF2">
        <w:t>th</w:t>
      </w:r>
      <w:r w:rsidR="004364E7">
        <w:t>e idea that reason is the best method</w:t>
      </w:r>
      <w:r w:rsidR="00A90FF2">
        <w:t xml:space="preserve"> for </w:t>
      </w:r>
      <w:r w:rsidR="004364E7">
        <w:t>making choices</w:t>
      </w:r>
      <w:r w:rsidR="00A90FF2">
        <w:t>?</w:t>
      </w:r>
    </w:p>
    <w:p w:rsidR="004364E7" w:rsidRDefault="004364E7" w:rsidP="004364E7">
      <w:pPr>
        <w:pStyle w:val="ListParagraph"/>
        <w:numPr>
          <w:ilvl w:val="0"/>
          <w:numId w:val="6"/>
        </w:numPr>
      </w:pPr>
      <w:r>
        <w:t>“</w:t>
      </w:r>
      <w:r w:rsidRPr="004364E7">
        <w:t xml:space="preserve">In his determination to find consolation in work and in particular to understand the unusual lunatic, Renfield, Seward follows in his own way the pattern set by </w:t>
      </w:r>
      <w:proofErr w:type="spellStart"/>
      <w:r w:rsidRPr="004364E7">
        <w:t>Harker</w:t>
      </w:r>
      <w:proofErr w:type="spellEnd"/>
      <w:r w:rsidRPr="004364E7">
        <w:t>, for whom keeping a journal ‘becomes a therapeutic act of self-preservation’.</w:t>
      </w:r>
      <w:r>
        <w:t>” (1)</w:t>
      </w:r>
    </w:p>
    <w:p w:rsidR="004364E7" w:rsidRDefault="004364E7" w:rsidP="004364E7">
      <w:pPr>
        <w:pStyle w:val="ListParagraph"/>
        <w:numPr>
          <w:ilvl w:val="0"/>
          <w:numId w:val="6"/>
        </w:numPr>
      </w:pPr>
      <w:r>
        <w:t>“</w:t>
      </w:r>
      <w:r w:rsidRPr="004364E7">
        <w:t>Just what this means is unclear, but it does give the impression that once all the operative factors have been determined, the case of Renfield will become comprehensible.</w:t>
      </w:r>
      <w:r>
        <w:t>” (2)</w:t>
      </w:r>
    </w:p>
    <w:p w:rsidR="004364E7" w:rsidRDefault="004364E7" w:rsidP="004364E7">
      <w:pPr>
        <w:pStyle w:val="ListParagraph"/>
        <w:numPr>
          <w:ilvl w:val="0"/>
          <w:numId w:val="6"/>
        </w:numPr>
      </w:pPr>
      <w:r>
        <w:t>“</w:t>
      </w:r>
      <w:r w:rsidRPr="004364E7">
        <w:t xml:space="preserve">In Renfield’s case his </w:t>
      </w:r>
      <w:proofErr w:type="spellStart"/>
      <w:r w:rsidRPr="004364E7">
        <w:t>zoophagy</w:t>
      </w:r>
      <w:proofErr w:type="spellEnd"/>
      <w:r w:rsidRPr="004364E7">
        <w:t xml:space="preserve"> is an attempt to eat his </w:t>
      </w:r>
      <w:r>
        <w:t>way up the Great Chain of Being</w:t>
      </w:r>
      <w:r w:rsidRPr="004364E7">
        <w:t>, in the hope that by absorbing other lives he will indefinitely prolong his own; it takes the rationale of food to an illogical conclusion, by assuming that ‘life’ is a quantifiable commodity, capable of indefinite prolongation</w:t>
      </w:r>
      <w:r>
        <w:t>.” (3)</w:t>
      </w:r>
    </w:p>
    <w:p w:rsidR="004364E7" w:rsidRDefault="004364E7" w:rsidP="004364E7">
      <w:pPr>
        <w:pStyle w:val="ListParagraph"/>
        <w:numPr>
          <w:ilvl w:val="0"/>
          <w:numId w:val="6"/>
        </w:numPr>
      </w:pPr>
      <w:r>
        <w:t>“</w:t>
      </w:r>
      <w:r w:rsidRPr="004364E7">
        <w:t>Ironically, it is only when Renfield is speaking with apparent rationality that he is distrusted, since his alignment with the vampire has been taken for granted.</w:t>
      </w:r>
      <w:r>
        <w:t>” (4)</w:t>
      </w:r>
    </w:p>
    <w:p w:rsidR="000C456E" w:rsidRDefault="000C456E" w:rsidP="000C456E">
      <w:pPr>
        <w:pStyle w:val="ListParagraph"/>
        <w:ind w:left="1080"/>
      </w:pPr>
    </w:p>
    <w:p w:rsidR="00A90FF2" w:rsidRDefault="002B084F" w:rsidP="002924FE">
      <w:pPr>
        <w:pStyle w:val="ListParagraph"/>
        <w:numPr>
          <w:ilvl w:val="0"/>
          <w:numId w:val="1"/>
        </w:numPr>
      </w:pPr>
      <w:r>
        <w:t>According to the author, what is the relationship between Renfield’s philosophy and the Catholic idea of communion?</w:t>
      </w:r>
    </w:p>
    <w:p w:rsidR="002B084F" w:rsidRDefault="002B084F" w:rsidP="002B084F">
      <w:pPr>
        <w:pStyle w:val="ListParagraph"/>
        <w:numPr>
          <w:ilvl w:val="0"/>
          <w:numId w:val="8"/>
        </w:numPr>
      </w:pPr>
      <w:r>
        <w:t>Renfield’s attempts to devour life are essentially the same as the practice of communion.</w:t>
      </w:r>
    </w:p>
    <w:p w:rsidR="002B084F" w:rsidRDefault="000C456E" w:rsidP="002B084F">
      <w:pPr>
        <w:pStyle w:val="ListParagraph"/>
        <w:numPr>
          <w:ilvl w:val="0"/>
          <w:numId w:val="8"/>
        </w:numPr>
      </w:pPr>
      <w:r>
        <w:t>Renfield’s attempts to devour life are a perversion of the practice of communion.</w:t>
      </w:r>
    </w:p>
    <w:p w:rsidR="000C456E" w:rsidRDefault="000C456E" w:rsidP="002B084F">
      <w:pPr>
        <w:pStyle w:val="ListParagraph"/>
        <w:numPr>
          <w:ilvl w:val="0"/>
          <w:numId w:val="8"/>
        </w:numPr>
      </w:pPr>
      <w:r>
        <w:t>Renfield’s attempts to devour life are completely different from the practice of communion.</w:t>
      </w:r>
    </w:p>
    <w:p w:rsidR="000C456E" w:rsidRDefault="000C456E" w:rsidP="002B084F">
      <w:pPr>
        <w:pStyle w:val="ListParagraph"/>
        <w:numPr>
          <w:ilvl w:val="0"/>
          <w:numId w:val="8"/>
        </w:numPr>
      </w:pPr>
      <w:r>
        <w:t>Renfield’s attempts to devour life are unrelated to the practice of communion.</w:t>
      </w:r>
    </w:p>
    <w:p w:rsidR="000C456E" w:rsidRDefault="000C456E" w:rsidP="000C456E">
      <w:pPr>
        <w:pStyle w:val="ListParagraph"/>
        <w:ind w:left="1080"/>
      </w:pPr>
    </w:p>
    <w:p w:rsidR="002B084F" w:rsidRDefault="000C456E" w:rsidP="002924FE">
      <w:pPr>
        <w:pStyle w:val="ListParagraph"/>
        <w:numPr>
          <w:ilvl w:val="0"/>
          <w:numId w:val="1"/>
        </w:numPr>
      </w:pPr>
      <w:r>
        <w:t>Why does the author include a quotation from Roy Porter in paragraph 4?</w:t>
      </w:r>
    </w:p>
    <w:p w:rsidR="000C456E" w:rsidRDefault="000C456E" w:rsidP="000C456E">
      <w:pPr>
        <w:pStyle w:val="ListParagraph"/>
        <w:numPr>
          <w:ilvl w:val="0"/>
          <w:numId w:val="9"/>
        </w:numPr>
      </w:pPr>
      <w:r>
        <w:t>to support his argument with a credible expert</w:t>
      </w:r>
    </w:p>
    <w:p w:rsidR="000C456E" w:rsidRDefault="000C456E" w:rsidP="000C456E">
      <w:pPr>
        <w:pStyle w:val="ListParagraph"/>
        <w:numPr>
          <w:ilvl w:val="0"/>
          <w:numId w:val="9"/>
        </w:numPr>
      </w:pPr>
      <w:r>
        <w:t>to illustrate his argument with a specific detail</w:t>
      </w:r>
    </w:p>
    <w:p w:rsidR="000C456E" w:rsidRDefault="000C456E" w:rsidP="000C456E">
      <w:pPr>
        <w:pStyle w:val="ListParagraph"/>
        <w:numPr>
          <w:ilvl w:val="0"/>
          <w:numId w:val="9"/>
        </w:numPr>
      </w:pPr>
      <w:r>
        <w:t>to provide a counter argument to his own opinion</w:t>
      </w:r>
    </w:p>
    <w:p w:rsidR="00413A9F" w:rsidRDefault="000C456E" w:rsidP="00413A9F">
      <w:pPr>
        <w:pStyle w:val="ListParagraph"/>
        <w:numPr>
          <w:ilvl w:val="0"/>
          <w:numId w:val="9"/>
        </w:numPr>
      </w:pPr>
      <w:r>
        <w:t>to introduce a new and complicated idea</w:t>
      </w:r>
    </w:p>
    <w:p w:rsidR="00D6329D" w:rsidRDefault="00D6329D" w:rsidP="00D6329D">
      <w:pPr>
        <w:pStyle w:val="ListParagraph"/>
        <w:ind w:left="1080"/>
      </w:pPr>
    </w:p>
    <w:p w:rsidR="000C456E" w:rsidRDefault="000C456E" w:rsidP="002924FE">
      <w:pPr>
        <w:pStyle w:val="ListParagraph"/>
        <w:numPr>
          <w:ilvl w:val="0"/>
          <w:numId w:val="1"/>
        </w:numPr>
      </w:pPr>
      <w:r>
        <w:t>According to the author, how is Dracula able to use Renfield to serve him?</w:t>
      </w:r>
    </w:p>
    <w:p w:rsidR="000C456E" w:rsidRDefault="000C456E" w:rsidP="000C456E">
      <w:pPr>
        <w:pStyle w:val="ListParagraph"/>
        <w:numPr>
          <w:ilvl w:val="0"/>
          <w:numId w:val="10"/>
        </w:numPr>
      </w:pPr>
      <w:r>
        <w:t xml:space="preserve">Renfield has been </w:t>
      </w:r>
      <w:r w:rsidR="00413A9F">
        <w:t>dismissed by the other characters as less-than-human.</w:t>
      </w:r>
    </w:p>
    <w:p w:rsidR="00413A9F" w:rsidRDefault="00413A9F" w:rsidP="000C456E">
      <w:pPr>
        <w:pStyle w:val="ListParagraph"/>
        <w:numPr>
          <w:ilvl w:val="0"/>
          <w:numId w:val="10"/>
        </w:numPr>
      </w:pPr>
      <w:r>
        <w:t>Renfield is convinced by Dracula’s theories on blood and life.</w:t>
      </w:r>
    </w:p>
    <w:p w:rsidR="00413A9F" w:rsidRDefault="00413A9F" w:rsidP="000C456E">
      <w:pPr>
        <w:pStyle w:val="ListParagraph"/>
        <w:numPr>
          <w:ilvl w:val="0"/>
          <w:numId w:val="10"/>
        </w:numPr>
      </w:pPr>
      <w:r>
        <w:t>Renfield is physically and spiritually weaker than Dracula.</w:t>
      </w:r>
    </w:p>
    <w:p w:rsidR="00413A9F" w:rsidRDefault="00413A9F" w:rsidP="000C456E">
      <w:pPr>
        <w:pStyle w:val="ListParagraph"/>
        <w:numPr>
          <w:ilvl w:val="0"/>
          <w:numId w:val="10"/>
        </w:numPr>
      </w:pPr>
      <w:r>
        <w:t>Renfield has lost his sense of right and wrong.</w:t>
      </w:r>
    </w:p>
    <w:p w:rsidR="00413A9F" w:rsidRDefault="00413A9F" w:rsidP="00C13124">
      <w:pPr>
        <w:pStyle w:val="ListParagraph"/>
      </w:pPr>
    </w:p>
    <w:sectPr w:rsidR="00413A9F" w:rsidSect="000B694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087A" w:rsidRDefault="0083087A" w:rsidP="009222F9">
      <w:pPr>
        <w:spacing w:after="0" w:line="240" w:lineRule="auto"/>
      </w:pPr>
      <w:r>
        <w:separator/>
      </w:r>
    </w:p>
  </w:endnote>
  <w:endnote w:type="continuationSeparator" w:id="0">
    <w:p w:rsidR="0083087A" w:rsidRDefault="0083087A" w:rsidP="009222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087A" w:rsidRDefault="0083087A" w:rsidP="009222F9">
      <w:pPr>
        <w:spacing w:after="0" w:line="240" w:lineRule="auto"/>
      </w:pPr>
      <w:r>
        <w:separator/>
      </w:r>
    </w:p>
  </w:footnote>
  <w:footnote w:type="continuationSeparator" w:id="0">
    <w:p w:rsidR="0083087A" w:rsidRDefault="0083087A" w:rsidP="009222F9">
      <w:pPr>
        <w:spacing w:after="0" w:line="240" w:lineRule="auto"/>
      </w:pPr>
      <w:r>
        <w:continuationSeparator/>
      </w:r>
    </w:p>
  </w:footnote>
  <w:footnote w:id="1">
    <w:p w:rsidR="005D488A" w:rsidRPr="005D488A" w:rsidRDefault="005D488A">
      <w:pPr>
        <w:pStyle w:val="FootnoteText"/>
        <w:rPr>
          <w:i/>
        </w:rPr>
      </w:pPr>
      <w:r>
        <w:rPr>
          <w:rStyle w:val="FootnoteReference"/>
        </w:rPr>
        <w:footnoteRef/>
      </w:r>
      <w:r>
        <w:t xml:space="preserve"> a Gothic mystery novel written a little before </w:t>
      </w:r>
      <w:r>
        <w:rPr>
          <w:i/>
        </w:rPr>
        <w:t>Dracula</w:t>
      </w:r>
    </w:p>
  </w:footnote>
  <w:footnote w:id="2">
    <w:p w:rsidR="009222F9" w:rsidRDefault="009222F9">
      <w:pPr>
        <w:pStyle w:val="FootnoteText"/>
      </w:pPr>
      <w:r>
        <w:rPr>
          <w:rStyle w:val="FootnoteReference"/>
        </w:rPr>
        <w:footnoteRef/>
      </w:r>
      <w:r>
        <w:t xml:space="preserve"> Physicians in the </w:t>
      </w:r>
      <w:proofErr w:type="gramStart"/>
      <w:r>
        <w:t>Middle</w:t>
      </w:r>
      <w:proofErr w:type="gramEnd"/>
      <w:r>
        <w:t xml:space="preserve"> Ages believed in a “</w:t>
      </w:r>
      <w:proofErr w:type="spellStart"/>
      <w:r>
        <w:t>humours</w:t>
      </w:r>
      <w:proofErr w:type="spellEnd"/>
      <w:r>
        <w:t xml:space="preserve">-based theory of personality” – that </w:t>
      </w:r>
      <w:r w:rsidR="00C044D9">
        <w:t>is, the human body was</w:t>
      </w:r>
      <w:r>
        <w:t xml:space="preserve"> composed of four different liquids (blood, which made someone “sanguine” or cheerful; yellow bile, which made someone “choleric,” or angry; black bile, which made someone “melancholy,” or sad; and phlegm, which made someone “phlegmatic,” or </w:t>
      </w:r>
      <w:r w:rsidR="00C044D9">
        <w:t>easy-going). Diseases were caused when there was an imbalance between the four liquids.</w:t>
      </w:r>
    </w:p>
  </w:footnote>
  <w:footnote w:id="3">
    <w:p w:rsidR="00C044D9" w:rsidRDefault="00C044D9">
      <w:pPr>
        <w:pStyle w:val="FootnoteText"/>
      </w:pPr>
      <w:r>
        <w:rPr>
          <w:rStyle w:val="FootnoteReference"/>
        </w:rPr>
        <w:footnoteRef/>
      </w:r>
      <w:r>
        <w:t xml:space="preserve"> a strong adherence to logic</w:t>
      </w:r>
    </w:p>
  </w:footnote>
  <w:footnote w:id="4">
    <w:p w:rsidR="00C044D9" w:rsidRDefault="00C044D9">
      <w:pPr>
        <w:pStyle w:val="FootnoteText"/>
      </w:pPr>
      <w:r>
        <w:rPr>
          <w:rStyle w:val="FootnoteReference"/>
        </w:rPr>
        <w:footnoteRef/>
      </w:r>
      <w:r>
        <w:t xml:space="preserve"> “There was an old lady who swallowed a fly […]”</w:t>
      </w:r>
    </w:p>
  </w:footnote>
  <w:footnote w:id="5">
    <w:p w:rsidR="00C044D9" w:rsidRDefault="00C044D9">
      <w:pPr>
        <w:pStyle w:val="FootnoteText"/>
      </w:pPr>
      <w:r>
        <w:rPr>
          <w:rStyle w:val="FootnoteReference"/>
        </w:rPr>
        <w:footnoteRef/>
      </w:r>
      <w:r>
        <w:t xml:space="preserve"> </w:t>
      </w:r>
      <w:proofErr w:type="gramStart"/>
      <w:r w:rsidRPr="00C044D9">
        <w:t>the</w:t>
      </w:r>
      <w:proofErr w:type="gramEnd"/>
      <w:r w:rsidRPr="00C044D9">
        <w:t xml:space="preserve"> branch of medical science dealing with the classification of diseases.</w:t>
      </w:r>
    </w:p>
  </w:footnote>
  <w:footnote w:id="6">
    <w:p w:rsidR="00C044D9" w:rsidRDefault="00C044D9">
      <w:pPr>
        <w:pStyle w:val="FootnoteText"/>
      </w:pPr>
      <w:r>
        <w:rPr>
          <w:rStyle w:val="FootnoteReference"/>
        </w:rPr>
        <w:footnoteRef/>
      </w:r>
      <w:r>
        <w:t xml:space="preserve"> follower</w:t>
      </w:r>
    </w:p>
  </w:footnote>
  <w:footnote w:id="7">
    <w:p w:rsidR="00C044D9" w:rsidRDefault="00C044D9">
      <w:pPr>
        <w:pStyle w:val="FootnoteText"/>
      </w:pPr>
      <w:r>
        <w:rPr>
          <w:rStyle w:val="FootnoteReference"/>
        </w:rPr>
        <w:footnoteRef/>
      </w:r>
      <w:r>
        <w:t xml:space="preserve"> The Great Chain of Being was a medieval theory that suggested that everything in existence was part of a hierarchy, e.g.: rocks – plants – animals – humans – angels – God. There was even a hierarchy within each of these categories; for example, mammals would rank higher than fish in the “animal” category, and royalty would rank higher than peasants within the “human” category.</w:t>
      </w:r>
    </w:p>
  </w:footnote>
  <w:footnote w:id="8">
    <w:p w:rsidR="000B6941" w:rsidRDefault="000B6941">
      <w:pPr>
        <w:pStyle w:val="FootnoteText"/>
      </w:pPr>
      <w:r>
        <w:rPr>
          <w:rStyle w:val="FootnoteReference"/>
        </w:rPr>
        <w:footnoteRef/>
      </w:r>
      <w:r>
        <w:t xml:space="preserve"> a book from the Bible</w:t>
      </w:r>
    </w:p>
  </w:footnote>
  <w:footnote w:id="9">
    <w:p w:rsidR="000B6941" w:rsidRDefault="000B6941">
      <w:pPr>
        <w:pStyle w:val="FootnoteText"/>
      </w:pPr>
      <w:r>
        <w:rPr>
          <w:rStyle w:val="FootnoteReference"/>
        </w:rPr>
        <w:footnoteRef/>
      </w:r>
      <w:r>
        <w:t xml:space="preserve"> “</w:t>
      </w:r>
      <w:r w:rsidRPr="000B6941">
        <w:t>Just as a gazelle or a deer is eaten, so you will eat it; the unclean and the clean alike may eat of it. 23"Only be sure not to eat the blood, for the blood is the life, and you shall not eat the life with the flesh. 24"You shall not eat it; you shall pour it out on the ground like water</w:t>
      </w:r>
      <w:r>
        <w:t>.” Deuteronomy 12:22-24</w:t>
      </w:r>
    </w:p>
  </w:footnote>
  <w:footnote w:id="10">
    <w:p w:rsidR="000B6941" w:rsidRDefault="000B6941">
      <w:pPr>
        <w:pStyle w:val="FootnoteText"/>
      </w:pPr>
      <w:r>
        <w:rPr>
          <w:rStyle w:val="FootnoteReference"/>
        </w:rPr>
        <w:footnoteRef/>
      </w:r>
      <w:r>
        <w:t xml:space="preserve"> the wafer eaten at Communion that some Christians believe is transformed into the body of Christ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CA1948"/>
    <w:multiLevelType w:val="hybridMultilevel"/>
    <w:tmpl w:val="AC1070F8"/>
    <w:lvl w:ilvl="0" w:tplc="1D2EE9A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FB13AA6"/>
    <w:multiLevelType w:val="hybridMultilevel"/>
    <w:tmpl w:val="DD3E3EBC"/>
    <w:lvl w:ilvl="0" w:tplc="E8A6EBB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C6A325E"/>
    <w:multiLevelType w:val="hybridMultilevel"/>
    <w:tmpl w:val="B756F144"/>
    <w:lvl w:ilvl="0" w:tplc="F0BAB4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65428F0"/>
    <w:multiLevelType w:val="hybridMultilevel"/>
    <w:tmpl w:val="7B2811CA"/>
    <w:lvl w:ilvl="0" w:tplc="FC7CBC1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C3F5C10"/>
    <w:multiLevelType w:val="hybridMultilevel"/>
    <w:tmpl w:val="FC0AA21C"/>
    <w:lvl w:ilvl="0" w:tplc="7C52F4A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F0B29D6"/>
    <w:multiLevelType w:val="hybridMultilevel"/>
    <w:tmpl w:val="9E3E542A"/>
    <w:lvl w:ilvl="0" w:tplc="33CA541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002255C"/>
    <w:multiLevelType w:val="hybridMultilevel"/>
    <w:tmpl w:val="87E62532"/>
    <w:lvl w:ilvl="0" w:tplc="94BC54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22F2222"/>
    <w:multiLevelType w:val="hybridMultilevel"/>
    <w:tmpl w:val="EB329E66"/>
    <w:lvl w:ilvl="0" w:tplc="2D50AB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5FF3277E"/>
    <w:multiLevelType w:val="hybridMultilevel"/>
    <w:tmpl w:val="B416523A"/>
    <w:lvl w:ilvl="0" w:tplc="680AA05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6EBD284B"/>
    <w:multiLevelType w:val="hybridMultilevel"/>
    <w:tmpl w:val="8480AFEC"/>
    <w:lvl w:ilvl="0" w:tplc="2D92C12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77362699"/>
    <w:multiLevelType w:val="hybridMultilevel"/>
    <w:tmpl w:val="A2065C68"/>
    <w:lvl w:ilvl="0" w:tplc="18ACE0D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77E565B3"/>
    <w:multiLevelType w:val="hybridMultilevel"/>
    <w:tmpl w:val="EFF401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5"/>
  </w:num>
  <w:num w:numId="3">
    <w:abstractNumId w:val="3"/>
  </w:num>
  <w:num w:numId="4">
    <w:abstractNumId w:val="10"/>
  </w:num>
  <w:num w:numId="5">
    <w:abstractNumId w:val="8"/>
  </w:num>
  <w:num w:numId="6">
    <w:abstractNumId w:val="9"/>
  </w:num>
  <w:num w:numId="7">
    <w:abstractNumId w:val="2"/>
  </w:num>
  <w:num w:numId="8">
    <w:abstractNumId w:val="1"/>
  </w:num>
  <w:num w:numId="9">
    <w:abstractNumId w:val="6"/>
  </w:num>
  <w:num w:numId="10">
    <w:abstractNumId w:val="7"/>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960"/>
    <w:rsid w:val="00030960"/>
    <w:rsid w:val="000B6941"/>
    <w:rsid w:val="000C456E"/>
    <w:rsid w:val="00195FC4"/>
    <w:rsid w:val="002924FE"/>
    <w:rsid w:val="002B084F"/>
    <w:rsid w:val="003B0054"/>
    <w:rsid w:val="004034B6"/>
    <w:rsid w:val="00413A9F"/>
    <w:rsid w:val="004364E7"/>
    <w:rsid w:val="005D488A"/>
    <w:rsid w:val="00680496"/>
    <w:rsid w:val="007021CE"/>
    <w:rsid w:val="0083087A"/>
    <w:rsid w:val="009222F9"/>
    <w:rsid w:val="00A90FF2"/>
    <w:rsid w:val="00BF5DB6"/>
    <w:rsid w:val="00C044D9"/>
    <w:rsid w:val="00C13124"/>
    <w:rsid w:val="00C87610"/>
    <w:rsid w:val="00D632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362360-EC4F-4D11-BBCF-24E9424DA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222F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222F9"/>
    <w:rPr>
      <w:sz w:val="20"/>
      <w:szCs w:val="20"/>
    </w:rPr>
  </w:style>
  <w:style w:type="character" w:styleId="FootnoteReference">
    <w:name w:val="footnote reference"/>
    <w:basedOn w:val="DefaultParagraphFont"/>
    <w:uiPriority w:val="99"/>
    <w:semiHidden/>
    <w:unhideWhenUsed/>
    <w:rsid w:val="009222F9"/>
    <w:rPr>
      <w:vertAlign w:val="superscript"/>
    </w:rPr>
  </w:style>
  <w:style w:type="paragraph" w:styleId="ListParagraph">
    <w:name w:val="List Paragraph"/>
    <w:basedOn w:val="Normal"/>
    <w:uiPriority w:val="34"/>
    <w:qFormat/>
    <w:rsid w:val="005D48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A39C0B-DF27-43FE-BB04-E57C5B6C1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4</Pages>
  <Words>1947</Words>
  <Characters>11103</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13024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dcterms:created xsi:type="dcterms:W3CDTF">2015-02-13T20:13:00Z</dcterms:created>
  <dcterms:modified xsi:type="dcterms:W3CDTF">2015-03-02T17:39:00Z</dcterms:modified>
</cp:coreProperties>
</file>