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D11" w:rsidRDefault="007A1D11">
      <w:pPr>
        <w:rPr>
          <w:rFonts w:ascii="Garamond" w:hAnsi="Garamond"/>
        </w:rPr>
      </w:pPr>
      <w:bookmarkStart w:id="0" w:name="_GoBack"/>
      <w:bookmarkEnd w:id="0"/>
      <w:r>
        <w:rPr>
          <w:rFonts w:ascii="Garamond" w:hAnsi="Garamond"/>
        </w:rPr>
        <w:t xml:space="preserve">1.  </w:t>
      </w:r>
      <w:r w:rsidR="007858F2" w:rsidRPr="006F5698">
        <w:rPr>
          <w:rFonts w:ascii="Garamond" w:hAnsi="Garamond"/>
          <w:b/>
        </w:rPr>
        <w:t>Be able to define the following concepts</w:t>
      </w:r>
      <w:r w:rsidR="007858F2">
        <w:rPr>
          <w:rFonts w:ascii="Garamond" w:hAnsi="Garamond"/>
        </w:rPr>
        <w:t>: n</w:t>
      </w:r>
      <w:r>
        <w:rPr>
          <w:rFonts w:ascii="Garamond" w:hAnsi="Garamond"/>
        </w:rPr>
        <w:t>oun</w:t>
      </w:r>
      <w:r w:rsidR="007858F2">
        <w:rPr>
          <w:rFonts w:ascii="Garamond" w:hAnsi="Garamond"/>
        </w:rPr>
        <w:t>, collective noun, singular</w:t>
      </w:r>
      <w:r w:rsidR="006F5698">
        <w:rPr>
          <w:rFonts w:ascii="Garamond" w:hAnsi="Garamond"/>
        </w:rPr>
        <w:t xml:space="preserve"> noun, plural noun, common noun, proper noun</w:t>
      </w:r>
      <w:r w:rsidR="007858F2">
        <w:rPr>
          <w:rFonts w:ascii="Garamond" w:hAnsi="Garamond"/>
        </w:rPr>
        <w:t>,</w:t>
      </w:r>
      <w:r w:rsidR="006F5698">
        <w:rPr>
          <w:rFonts w:ascii="Garamond" w:hAnsi="Garamond"/>
        </w:rPr>
        <w:t xml:space="preserve"> count nouns, non- count nouns</w:t>
      </w:r>
      <w:r>
        <w:rPr>
          <w:rFonts w:ascii="Garamond" w:hAnsi="Garamond"/>
        </w:rPr>
        <w:t xml:space="preserve"> </w:t>
      </w:r>
    </w:p>
    <w:p w:rsidR="007858F2" w:rsidRDefault="006B63A4" w:rsidP="006B63A4">
      <w:pPr>
        <w:rPr>
          <w:rFonts w:ascii="Garamond" w:hAnsi="Garamond"/>
        </w:rPr>
      </w:pPr>
      <w:r>
        <w:rPr>
          <w:rFonts w:ascii="Garamond" w:hAnsi="Garamond"/>
        </w:rPr>
        <w:t xml:space="preserve">What </w:t>
      </w:r>
      <w:r w:rsidR="006F5698">
        <w:rPr>
          <w:rFonts w:ascii="Garamond" w:hAnsi="Garamond"/>
        </w:rPr>
        <w:t xml:space="preserve">is </w:t>
      </w:r>
      <w:r>
        <w:rPr>
          <w:rFonts w:ascii="Garamond" w:hAnsi="Garamond"/>
        </w:rPr>
        <w:t xml:space="preserve">the difference between </w:t>
      </w:r>
      <w:r w:rsidR="006F5698">
        <w:rPr>
          <w:rFonts w:ascii="Garamond" w:hAnsi="Garamond"/>
        </w:rPr>
        <w:t xml:space="preserve">a </w:t>
      </w:r>
      <w:r>
        <w:rPr>
          <w:rFonts w:ascii="Garamond" w:hAnsi="Garamond"/>
        </w:rPr>
        <w:t>common noun and a proper noun?</w:t>
      </w:r>
    </w:p>
    <w:p w:rsidR="008D3E52" w:rsidRDefault="008D3E52" w:rsidP="006B63A4">
      <w:pPr>
        <w:rPr>
          <w:rFonts w:ascii="Garamond" w:hAnsi="Garamond"/>
        </w:rPr>
      </w:pPr>
      <w:r>
        <w:rPr>
          <w:rFonts w:ascii="Garamond" w:hAnsi="Garamond"/>
        </w:rPr>
        <w:t xml:space="preserve">What is the difference between an abstract and concrete noun? </w:t>
      </w:r>
    </w:p>
    <w:p w:rsidR="007858F2" w:rsidRDefault="007858F2" w:rsidP="006B63A4">
      <w:pPr>
        <w:rPr>
          <w:rFonts w:ascii="Garamond" w:hAnsi="Garamond"/>
        </w:rPr>
      </w:pPr>
      <w:r>
        <w:rPr>
          <w:rFonts w:ascii="Garamond" w:hAnsi="Garamond"/>
        </w:rPr>
        <w:t xml:space="preserve">When it comes to spelling plural nouns, what rules should I follow?  </w:t>
      </w:r>
    </w:p>
    <w:p w:rsidR="008D3E52" w:rsidRDefault="007858F2" w:rsidP="008D3E52">
      <w:pPr>
        <w:rPr>
          <w:rFonts w:ascii="Garamond" w:hAnsi="Garamond"/>
        </w:rPr>
      </w:pPr>
      <w:r>
        <w:rPr>
          <w:rFonts w:ascii="Garamond" w:hAnsi="Garamond"/>
        </w:rPr>
        <w:t>When should collective nouns have a singular verb?</w:t>
      </w:r>
    </w:p>
    <w:p w:rsidR="008D3E52" w:rsidRDefault="008D3E52" w:rsidP="008D3E52">
      <w:pPr>
        <w:rPr>
          <w:rFonts w:ascii="Garamond" w:hAnsi="Garamond"/>
        </w:rPr>
      </w:pPr>
      <w:r>
        <w:rPr>
          <w:rFonts w:ascii="Garamond" w:hAnsi="Garamond"/>
        </w:rPr>
        <w:t>Why are gender neutral nouns considered more appropriate?</w:t>
      </w:r>
    </w:p>
    <w:p w:rsidR="006F5698" w:rsidRPr="006F5698" w:rsidRDefault="006F5698" w:rsidP="007858F2">
      <w:pPr>
        <w:rPr>
          <w:rFonts w:ascii="Garamond" w:hAnsi="Garamond"/>
          <w:b/>
        </w:rPr>
      </w:pPr>
      <w:r w:rsidRPr="006F5698">
        <w:rPr>
          <w:rFonts w:ascii="Garamond" w:hAnsi="Garamond"/>
          <w:b/>
        </w:rPr>
        <w:t xml:space="preserve">Fill in the following chart: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7"/>
        <w:gridCol w:w="2058"/>
        <w:gridCol w:w="2070"/>
        <w:gridCol w:w="2070"/>
        <w:gridCol w:w="2160"/>
        <w:gridCol w:w="2340"/>
        <w:gridCol w:w="2070"/>
      </w:tblGrid>
      <w:tr w:rsidR="00CE1220" w:rsidTr="00CE1220">
        <w:tc>
          <w:tcPr>
            <w:tcW w:w="997" w:type="dxa"/>
          </w:tcPr>
          <w:p w:rsidR="007858F2" w:rsidRPr="006F5698" w:rsidRDefault="007858F2" w:rsidP="006B63A4">
            <w:pPr>
              <w:rPr>
                <w:rFonts w:ascii="Garamond" w:hAnsi="Garamond"/>
                <w:b/>
              </w:rPr>
            </w:pPr>
            <w:r w:rsidRPr="006F5698">
              <w:rPr>
                <w:rFonts w:ascii="Garamond" w:hAnsi="Garamond"/>
                <w:b/>
              </w:rPr>
              <w:t>Word</w:t>
            </w:r>
          </w:p>
        </w:tc>
        <w:tc>
          <w:tcPr>
            <w:tcW w:w="2058" w:type="dxa"/>
          </w:tcPr>
          <w:p w:rsidR="007858F2" w:rsidRPr="006F5698" w:rsidRDefault="00CE1220" w:rsidP="00CE1220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Is the word c</w:t>
            </w:r>
            <w:r w:rsidR="007858F2" w:rsidRPr="006F5698">
              <w:rPr>
                <w:rFonts w:ascii="Garamond" w:hAnsi="Garamond"/>
                <w:b/>
              </w:rPr>
              <w:t xml:space="preserve">ommon </w:t>
            </w:r>
            <w:r>
              <w:rPr>
                <w:rFonts w:ascii="Garamond" w:hAnsi="Garamond"/>
                <w:b/>
              </w:rPr>
              <w:t>or p</w:t>
            </w:r>
            <w:r w:rsidR="007858F2" w:rsidRPr="006F5698">
              <w:rPr>
                <w:rFonts w:ascii="Garamond" w:hAnsi="Garamond"/>
                <w:b/>
              </w:rPr>
              <w:t>roper</w:t>
            </w:r>
            <w:r>
              <w:rPr>
                <w:rFonts w:ascii="Garamond" w:hAnsi="Garamond"/>
                <w:b/>
              </w:rPr>
              <w:t>?</w:t>
            </w:r>
          </w:p>
        </w:tc>
        <w:tc>
          <w:tcPr>
            <w:tcW w:w="2070" w:type="dxa"/>
          </w:tcPr>
          <w:p w:rsidR="007858F2" w:rsidRPr="006F5698" w:rsidRDefault="00CE1220" w:rsidP="00CE1220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Is the word a count or non-c</w:t>
            </w:r>
            <w:r w:rsidR="007858F2" w:rsidRPr="006F5698">
              <w:rPr>
                <w:rFonts w:ascii="Garamond" w:hAnsi="Garamond"/>
                <w:b/>
              </w:rPr>
              <w:t>ount</w:t>
            </w:r>
            <w:r>
              <w:rPr>
                <w:rFonts w:ascii="Garamond" w:hAnsi="Garamond"/>
                <w:b/>
              </w:rPr>
              <w:t xml:space="preserve"> noun?</w:t>
            </w:r>
          </w:p>
        </w:tc>
        <w:tc>
          <w:tcPr>
            <w:tcW w:w="2070" w:type="dxa"/>
          </w:tcPr>
          <w:p w:rsidR="007858F2" w:rsidRPr="006F5698" w:rsidRDefault="00CE1220" w:rsidP="00CE1220">
            <w:pPr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Is the word concrete or a</w:t>
            </w:r>
            <w:r w:rsidR="007858F2" w:rsidRPr="006F5698">
              <w:rPr>
                <w:rFonts w:ascii="Garamond" w:hAnsi="Garamond"/>
                <w:b/>
              </w:rPr>
              <w:t>bstract</w:t>
            </w:r>
          </w:p>
        </w:tc>
        <w:tc>
          <w:tcPr>
            <w:tcW w:w="2160" w:type="dxa"/>
          </w:tcPr>
          <w:p w:rsidR="007858F2" w:rsidRPr="006F5698" w:rsidRDefault="007858F2" w:rsidP="006B63A4">
            <w:pPr>
              <w:rPr>
                <w:rFonts w:ascii="Garamond" w:hAnsi="Garamond"/>
                <w:b/>
              </w:rPr>
            </w:pPr>
            <w:r w:rsidRPr="006F5698">
              <w:rPr>
                <w:rFonts w:ascii="Garamond" w:hAnsi="Garamond"/>
                <w:b/>
              </w:rPr>
              <w:t xml:space="preserve">Spell this noun’s plural form: </w:t>
            </w:r>
          </w:p>
        </w:tc>
        <w:tc>
          <w:tcPr>
            <w:tcW w:w="2340" w:type="dxa"/>
          </w:tcPr>
          <w:p w:rsidR="007858F2" w:rsidRPr="006F5698" w:rsidRDefault="007858F2" w:rsidP="006B63A4">
            <w:pPr>
              <w:rPr>
                <w:rFonts w:ascii="Garamond" w:hAnsi="Garamond"/>
                <w:b/>
              </w:rPr>
            </w:pPr>
            <w:r w:rsidRPr="006F5698">
              <w:rPr>
                <w:rFonts w:ascii="Garamond" w:hAnsi="Garamond"/>
                <w:b/>
              </w:rPr>
              <w:t xml:space="preserve">Would you have </w:t>
            </w:r>
            <w:r w:rsidRPr="006F5698">
              <w:rPr>
                <w:rFonts w:ascii="Garamond" w:hAnsi="Garamond"/>
                <w:b/>
                <w:i/>
              </w:rPr>
              <w:t>less</w:t>
            </w:r>
            <w:r w:rsidRPr="006F5698">
              <w:rPr>
                <w:rFonts w:ascii="Garamond" w:hAnsi="Garamond"/>
                <w:b/>
              </w:rPr>
              <w:t xml:space="preserve"> or </w:t>
            </w:r>
            <w:r w:rsidRPr="006F5698">
              <w:rPr>
                <w:rFonts w:ascii="Garamond" w:hAnsi="Garamond"/>
                <w:b/>
                <w:i/>
              </w:rPr>
              <w:t xml:space="preserve">fewer </w:t>
            </w:r>
            <w:r w:rsidRPr="006F5698">
              <w:rPr>
                <w:rFonts w:ascii="Garamond" w:hAnsi="Garamond"/>
                <w:b/>
              </w:rPr>
              <w:t xml:space="preserve"> of this noun?  </w:t>
            </w:r>
          </w:p>
        </w:tc>
        <w:tc>
          <w:tcPr>
            <w:tcW w:w="2070" w:type="dxa"/>
          </w:tcPr>
          <w:p w:rsidR="007858F2" w:rsidRPr="006F5698" w:rsidRDefault="007858F2" w:rsidP="006B63A4">
            <w:pPr>
              <w:rPr>
                <w:rFonts w:ascii="Garamond" w:hAnsi="Garamond"/>
                <w:b/>
              </w:rPr>
            </w:pPr>
            <w:r w:rsidRPr="006F5698">
              <w:rPr>
                <w:rFonts w:ascii="Garamond" w:hAnsi="Garamond"/>
                <w:b/>
              </w:rPr>
              <w:t xml:space="preserve">Is this noun a collective noun?  </w:t>
            </w:r>
          </w:p>
        </w:tc>
      </w:tr>
      <w:tr w:rsidR="00CE1220" w:rsidTr="00CE1220">
        <w:trPr>
          <w:trHeight w:val="575"/>
        </w:trPr>
        <w:tc>
          <w:tcPr>
            <w:tcW w:w="997" w:type="dxa"/>
          </w:tcPr>
          <w:p w:rsidR="007858F2" w:rsidRDefault="00A63B4A" w:rsidP="006B63A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family</w:t>
            </w:r>
          </w:p>
        </w:tc>
        <w:tc>
          <w:tcPr>
            <w:tcW w:w="2058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  <w:tc>
          <w:tcPr>
            <w:tcW w:w="2160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  <w:tc>
          <w:tcPr>
            <w:tcW w:w="2340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7858F2" w:rsidRDefault="007858F2" w:rsidP="006B63A4">
            <w:pPr>
              <w:rPr>
                <w:rFonts w:ascii="Garamond" w:hAnsi="Garamond"/>
              </w:rPr>
            </w:pPr>
          </w:p>
        </w:tc>
      </w:tr>
      <w:tr w:rsidR="006F5698" w:rsidTr="00CE1220">
        <w:trPr>
          <w:trHeight w:val="647"/>
        </w:trPr>
        <w:tc>
          <w:tcPr>
            <w:tcW w:w="997" w:type="dxa"/>
          </w:tcPr>
          <w:p w:rsidR="006F5698" w:rsidRDefault="006F5698" w:rsidP="006B63A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peace</w:t>
            </w:r>
          </w:p>
        </w:tc>
        <w:tc>
          <w:tcPr>
            <w:tcW w:w="2058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16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34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</w:tr>
      <w:tr w:rsidR="006F5698" w:rsidTr="00CE1220">
        <w:trPr>
          <w:trHeight w:val="530"/>
        </w:trPr>
        <w:tc>
          <w:tcPr>
            <w:tcW w:w="997" w:type="dxa"/>
          </w:tcPr>
          <w:p w:rsidR="006F5698" w:rsidRDefault="006F5698" w:rsidP="006B63A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William</w:t>
            </w:r>
          </w:p>
        </w:tc>
        <w:tc>
          <w:tcPr>
            <w:tcW w:w="2058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16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34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</w:tr>
      <w:tr w:rsidR="006F5698" w:rsidTr="00CE1220">
        <w:trPr>
          <w:trHeight w:val="620"/>
        </w:trPr>
        <w:tc>
          <w:tcPr>
            <w:tcW w:w="997" w:type="dxa"/>
          </w:tcPr>
          <w:p w:rsidR="006F5698" w:rsidRDefault="006F5698" w:rsidP="006B63A4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rain</w:t>
            </w:r>
          </w:p>
        </w:tc>
        <w:tc>
          <w:tcPr>
            <w:tcW w:w="2058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16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34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  <w:tc>
          <w:tcPr>
            <w:tcW w:w="2070" w:type="dxa"/>
          </w:tcPr>
          <w:p w:rsidR="006F5698" w:rsidRDefault="006F5698" w:rsidP="006B63A4">
            <w:pPr>
              <w:rPr>
                <w:rFonts w:ascii="Garamond" w:hAnsi="Garamond"/>
              </w:rPr>
            </w:pPr>
          </w:p>
        </w:tc>
      </w:tr>
    </w:tbl>
    <w:p w:rsidR="00F10D3F" w:rsidRDefault="00F10D3F" w:rsidP="007A1D11">
      <w:pPr>
        <w:rPr>
          <w:rFonts w:ascii="Garamond" w:hAnsi="Garamond"/>
        </w:rPr>
      </w:pPr>
    </w:p>
    <w:p w:rsidR="006F5698" w:rsidRDefault="006F5698" w:rsidP="006F5698">
      <w:pPr>
        <w:rPr>
          <w:rFonts w:ascii="Garamond" w:hAnsi="Garamond"/>
        </w:rPr>
      </w:pPr>
      <w:r>
        <w:rPr>
          <w:rFonts w:ascii="Garamond" w:hAnsi="Garamond"/>
        </w:rPr>
        <w:t xml:space="preserve">2. </w:t>
      </w:r>
      <w:r w:rsidRPr="006F5698">
        <w:rPr>
          <w:rFonts w:ascii="Garamond" w:hAnsi="Garamond"/>
          <w:b/>
        </w:rPr>
        <w:t>Be able to define the following concepts</w:t>
      </w:r>
      <w:r>
        <w:rPr>
          <w:rFonts w:ascii="Garamond" w:hAnsi="Garamond"/>
        </w:rPr>
        <w:t xml:space="preserve">: verb, helping verb, linking verb, transitive verb, intransitive verb, gerund verb, emphatic form of a verb, participle forms of verbs, infinitive verb.  </w:t>
      </w:r>
    </w:p>
    <w:p w:rsidR="006F5698" w:rsidRDefault="006F5698" w:rsidP="006F5698">
      <w:pPr>
        <w:rPr>
          <w:rFonts w:ascii="Garamond" w:hAnsi="Garamond"/>
        </w:rPr>
      </w:pPr>
      <w:r>
        <w:rPr>
          <w:rFonts w:ascii="Garamond" w:hAnsi="Garamond"/>
        </w:rPr>
        <w:t>What are some purposes of a helping verb? List examples of helping verbs:</w:t>
      </w:r>
    </w:p>
    <w:p w:rsidR="006F5698" w:rsidRDefault="006F5698" w:rsidP="006F5698">
      <w:pPr>
        <w:rPr>
          <w:rFonts w:ascii="Garamond" w:hAnsi="Garamond"/>
        </w:rPr>
      </w:pPr>
      <w:r>
        <w:rPr>
          <w:rFonts w:ascii="Garamond" w:hAnsi="Garamond"/>
        </w:rPr>
        <w:lastRenderedPageBreak/>
        <w:t>What’s the difference between a transitive and intransitive verb?</w:t>
      </w:r>
    </w:p>
    <w:p w:rsidR="00F00BFD" w:rsidRDefault="008D3E52" w:rsidP="00F00BFD">
      <w:pPr>
        <w:rPr>
          <w:rFonts w:ascii="Garamond" w:hAnsi="Garamond"/>
        </w:rPr>
      </w:pPr>
      <w:r>
        <w:rPr>
          <w:rFonts w:ascii="Garamond" w:hAnsi="Garamond"/>
        </w:rPr>
        <w:t xml:space="preserve">Why would an author want to use the emphatic form of a verb?  </w:t>
      </w:r>
    </w:p>
    <w:p w:rsidR="00F00BFD" w:rsidRDefault="00F00BFD" w:rsidP="00F00BFD">
      <w:pPr>
        <w:rPr>
          <w:rFonts w:ascii="Garamond" w:hAnsi="Garamond"/>
        </w:rPr>
      </w:pPr>
      <w:r>
        <w:rPr>
          <w:rFonts w:ascii="Garamond" w:hAnsi="Garamond"/>
        </w:rPr>
        <w:t>Why is consistency of tense important?</w:t>
      </w:r>
    </w:p>
    <w:p w:rsidR="00CE1220" w:rsidRPr="008D3E52" w:rsidRDefault="008D3E52" w:rsidP="006F5698">
      <w:pPr>
        <w:rPr>
          <w:rFonts w:ascii="Garamond" w:hAnsi="Garamond"/>
          <w:b/>
        </w:rPr>
      </w:pPr>
      <w:r w:rsidRPr="008D3E52">
        <w:rPr>
          <w:rFonts w:ascii="Garamond" w:hAnsi="Garamond"/>
          <w:b/>
        </w:rPr>
        <w:t>Do</w:t>
      </w:r>
      <w:r w:rsidR="00CE1220" w:rsidRPr="008D3E52">
        <w:rPr>
          <w:rFonts w:ascii="Garamond" w:hAnsi="Garamond"/>
          <w:b/>
        </w:rPr>
        <w:t xml:space="preserve"> the following sentence contain the following verbs?  If so, write the verbs in the appropriate boxes (some verbs will be written more than once): </w:t>
      </w:r>
    </w:p>
    <w:p w:rsidR="006F5698" w:rsidRDefault="006F5698" w:rsidP="006F5698">
      <w:pPr>
        <w:rPr>
          <w:rFonts w:ascii="Garamond" w:hAnsi="Garamond"/>
        </w:rPr>
      </w:pPr>
      <w:r>
        <w:rPr>
          <w:rFonts w:ascii="Garamond" w:hAnsi="Garamond"/>
        </w:rPr>
        <w:t>As I sat in the comfortable chair</w:t>
      </w:r>
      <w:r w:rsidR="008D3E52">
        <w:rPr>
          <w:rFonts w:ascii="Garamond" w:hAnsi="Garamond"/>
        </w:rPr>
        <w:t xml:space="preserve"> eating cookies</w:t>
      </w:r>
      <w:r>
        <w:rPr>
          <w:rFonts w:ascii="Garamond" w:hAnsi="Garamond"/>
        </w:rPr>
        <w:t>, I c</w:t>
      </w:r>
      <w:r w:rsidR="00CE1220">
        <w:rPr>
          <w:rFonts w:ascii="Garamond" w:hAnsi="Garamond"/>
        </w:rPr>
        <w:t>ould not help to worry about tomorrow’s weather</w:t>
      </w:r>
    </w:p>
    <w:p w:rsidR="00CE1220" w:rsidRDefault="00CE1220" w:rsidP="006F5698">
      <w:pPr>
        <w:rPr>
          <w:rFonts w:ascii="Garamond" w:hAnsi="Garamond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1"/>
        <w:gridCol w:w="1606"/>
        <w:gridCol w:w="1636"/>
        <w:gridCol w:w="1663"/>
        <w:gridCol w:w="1657"/>
        <w:gridCol w:w="1703"/>
        <w:gridCol w:w="1699"/>
        <w:gridCol w:w="1507"/>
        <w:gridCol w:w="1844"/>
      </w:tblGrid>
      <w:tr w:rsidR="00CE1220" w:rsidTr="00CE1220">
        <w:tc>
          <w:tcPr>
            <w:tcW w:w="1651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Present tense verb</w:t>
            </w:r>
          </w:p>
        </w:tc>
        <w:tc>
          <w:tcPr>
            <w:tcW w:w="1606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Past tense verb</w:t>
            </w:r>
          </w:p>
        </w:tc>
        <w:tc>
          <w:tcPr>
            <w:tcW w:w="1636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Future tense verb</w:t>
            </w:r>
          </w:p>
        </w:tc>
        <w:tc>
          <w:tcPr>
            <w:tcW w:w="1663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Helping verb</w:t>
            </w:r>
          </w:p>
        </w:tc>
        <w:tc>
          <w:tcPr>
            <w:tcW w:w="1657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Linking verb</w:t>
            </w:r>
          </w:p>
        </w:tc>
        <w:tc>
          <w:tcPr>
            <w:tcW w:w="1703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Transitive verb</w:t>
            </w:r>
          </w:p>
        </w:tc>
        <w:tc>
          <w:tcPr>
            <w:tcW w:w="1699" w:type="dxa"/>
          </w:tcPr>
          <w:p w:rsidR="00CE1220" w:rsidRDefault="00CE1220" w:rsidP="006F5698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Emphatic verb</w:t>
            </w:r>
          </w:p>
        </w:tc>
        <w:tc>
          <w:tcPr>
            <w:tcW w:w="1507" w:type="dxa"/>
          </w:tcPr>
          <w:p w:rsidR="00CE1220" w:rsidRDefault="00CE1220" w:rsidP="00CE122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Infinitive verb</w:t>
            </w:r>
          </w:p>
        </w:tc>
        <w:tc>
          <w:tcPr>
            <w:tcW w:w="1844" w:type="dxa"/>
          </w:tcPr>
          <w:p w:rsidR="00CE1220" w:rsidRDefault="00CE1220" w:rsidP="00CE1220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Gerund/Participle verb</w:t>
            </w:r>
          </w:p>
        </w:tc>
      </w:tr>
      <w:tr w:rsidR="00CE1220" w:rsidTr="00CE1220">
        <w:trPr>
          <w:trHeight w:val="602"/>
        </w:trPr>
        <w:tc>
          <w:tcPr>
            <w:tcW w:w="1651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606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636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663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657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703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699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507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  <w:tc>
          <w:tcPr>
            <w:tcW w:w="1844" w:type="dxa"/>
          </w:tcPr>
          <w:p w:rsidR="00CE1220" w:rsidRDefault="00CE1220" w:rsidP="006F5698">
            <w:pPr>
              <w:rPr>
                <w:rFonts w:ascii="Garamond" w:hAnsi="Garamond"/>
              </w:rPr>
            </w:pPr>
          </w:p>
        </w:tc>
      </w:tr>
    </w:tbl>
    <w:p w:rsidR="00CE1220" w:rsidRPr="006F5698" w:rsidRDefault="00CE1220" w:rsidP="006F5698">
      <w:pPr>
        <w:rPr>
          <w:rFonts w:ascii="Garamond" w:hAnsi="Garamond"/>
        </w:rPr>
      </w:pPr>
    </w:p>
    <w:p w:rsidR="006F5698" w:rsidRDefault="00CE1220" w:rsidP="006F5698">
      <w:pPr>
        <w:rPr>
          <w:rFonts w:ascii="Garamond" w:hAnsi="Garamond"/>
        </w:rPr>
      </w:pPr>
      <w:r>
        <w:rPr>
          <w:rFonts w:ascii="Garamond" w:hAnsi="Garamond"/>
        </w:rPr>
        <w:t xml:space="preserve">The student felt great joy when the teacher announced that the test would be cancelled until further notice.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1"/>
        <w:gridCol w:w="1606"/>
        <w:gridCol w:w="1636"/>
        <w:gridCol w:w="1663"/>
        <w:gridCol w:w="1657"/>
        <w:gridCol w:w="1703"/>
        <w:gridCol w:w="1699"/>
        <w:gridCol w:w="1507"/>
        <w:gridCol w:w="1844"/>
      </w:tblGrid>
      <w:tr w:rsidR="00CE1220" w:rsidTr="00C45621">
        <w:tc>
          <w:tcPr>
            <w:tcW w:w="1651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Present tense verb</w:t>
            </w:r>
          </w:p>
        </w:tc>
        <w:tc>
          <w:tcPr>
            <w:tcW w:w="1606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Past tense verb</w:t>
            </w:r>
          </w:p>
        </w:tc>
        <w:tc>
          <w:tcPr>
            <w:tcW w:w="1636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Future tense verb</w:t>
            </w:r>
          </w:p>
        </w:tc>
        <w:tc>
          <w:tcPr>
            <w:tcW w:w="1663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Helping verb</w:t>
            </w:r>
          </w:p>
        </w:tc>
        <w:tc>
          <w:tcPr>
            <w:tcW w:w="1657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Linking verb</w:t>
            </w:r>
          </w:p>
        </w:tc>
        <w:tc>
          <w:tcPr>
            <w:tcW w:w="1703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Transitive verb</w:t>
            </w:r>
          </w:p>
        </w:tc>
        <w:tc>
          <w:tcPr>
            <w:tcW w:w="1699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Emphatic verb</w:t>
            </w:r>
          </w:p>
        </w:tc>
        <w:tc>
          <w:tcPr>
            <w:tcW w:w="1507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Infinitive verb</w:t>
            </w:r>
          </w:p>
        </w:tc>
        <w:tc>
          <w:tcPr>
            <w:tcW w:w="1844" w:type="dxa"/>
          </w:tcPr>
          <w:p w:rsidR="00CE1220" w:rsidRDefault="00CE1220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Gerund/Participle verb</w:t>
            </w:r>
          </w:p>
        </w:tc>
      </w:tr>
      <w:tr w:rsidR="00CE1220" w:rsidTr="00C45621">
        <w:trPr>
          <w:trHeight w:val="602"/>
        </w:trPr>
        <w:tc>
          <w:tcPr>
            <w:tcW w:w="1651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606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636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663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657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703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699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507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  <w:tc>
          <w:tcPr>
            <w:tcW w:w="1844" w:type="dxa"/>
          </w:tcPr>
          <w:p w:rsidR="00CE1220" w:rsidRDefault="00CE1220" w:rsidP="00C45621">
            <w:pPr>
              <w:rPr>
                <w:rFonts w:ascii="Garamond" w:hAnsi="Garamond"/>
              </w:rPr>
            </w:pPr>
          </w:p>
        </w:tc>
      </w:tr>
    </w:tbl>
    <w:p w:rsidR="00CE1220" w:rsidRDefault="00CE1220" w:rsidP="006F5698">
      <w:pPr>
        <w:rPr>
          <w:rFonts w:ascii="Garamond" w:hAnsi="Garamond"/>
        </w:rPr>
      </w:pPr>
    </w:p>
    <w:p w:rsidR="00CE1220" w:rsidRDefault="00CE1220" w:rsidP="006F5698">
      <w:pPr>
        <w:rPr>
          <w:rFonts w:ascii="Garamond" w:hAnsi="Garamond"/>
        </w:rPr>
      </w:pPr>
      <w:r>
        <w:rPr>
          <w:rFonts w:ascii="Garamond" w:hAnsi="Garamond"/>
        </w:rPr>
        <w:t xml:space="preserve">Running, jumping, and horse-playing are strictly forbidden by the student-code of conduct which was written by last year’s student body.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1"/>
        <w:gridCol w:w="1606"/>
        <w:gridCol w:w="1636"/>
        <w:gridCol w:w="1663"/>
        <w:gridCol w:w="1657"/>
        <w:gridCol w:w="1703"/>
        <w:gridCol w:w="1699"/>
        <w:gridCol w:w="1507"/>
        <w:gridCol w:w="1844"/>
      </w:tblGrid>
      <w:tr w:rsidR="008D3E52" w:rsidTr="00C45621">
        <w:tc>
          <w:tcPr>
            <w:tcW w:w="1651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Present tense verb</w:t>
            </w:r>
          </w:p>
        </w:tc>
        <w:tc>
          <w:tcPr>
            <w:tcW w:w="160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Past tense verb</w:t>
            </w:r>
          </w:p>
        </w:tc>
        <w:tc>
          <w:tcPr>
            <w:tcW w:w="163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Future tense verb</w:t>
            </w:r>
          </w:p>
        </w:tc>
        <w:tc>
          <w:tcPr>
            <w:tcW w:w="166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Helping verb</w:t>
            </w:r>
          </w:p>
        </w:tc>
        <w:tc>
          <w:tcPr>
            <w:tcW w:w="165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Linking verb</w:t>
            </w:r>
          </w:p>
        </w:tc>
        <w:tc>
          <w:tcPr>
            <w:tcW w:w="170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Transitive verb</w:t>
            </w:r>
          </w:p>
        </w:tc>
        <w:tc>
          <w:tcPr>
            <w:tcW w:w="1699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Emphatic verb</w:t>
            </w:r>
          </w:p>
        </w:tc>
        <w:tc>
          <w:tcPr>
            <w:tcW w:w="150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Infinitive verb</w:t>
            </w:r>
          </w:p>
        </w:tc>
        <w:tc>
          <w:tcPr>
            <w:tcW w:w="1844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Gerund/Participle verb</w:t>
            </w:r>
          </w:p>
        </w:tc>
      </w:tr>
      <w:tr w:rsidR="008D3E52" w:rsidTr="00C45621">
        <w:trPr>
          <w:trHeight w:val="602"/>
        </w:trPr>
        <w:tc>
          <w:tcPr>
            <w:tcW w:w="1651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0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3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6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5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70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99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50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844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</w:tr>
    </w:tbl>
    <w:p w:rsidR="008D3E52" w:rsidRDefault="008D3E52" w:rsidP="006F5698">
      <w:pPr>
        <w:rPr>
          <w:rFonts w:ascii="Garamond" w:hAnsi="Garamond"/>
        </w:rPr>
      </w:pPr>
    </w:p>
    <w:p w:rsidR="008D3E52" w:rsidRDefault="008D3E52" w:rsidP="006F5698">
      <w:pPr>
        <w:rPr>
          <w:rFonts w:ascii="Garamond" w:hAnsi="Garamond"/>
        </w:rPr>
      </w:pPr>
      <w:r>
        <w:rPr>
          <w:rFonts w:ascii="Garamond" w:hAnsi="Garamond"/>
        </w:rPr>
        <w:t xml:space="preserve">The politician insisted, “I do love my country and will fight to protect all of its citizens.”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1"/>
        <w:gridCol w:w="1606"/>
        <w:gridCol w:w="1636"/>
        <w:gridCol w:w="1663"/>
        <w:gridCol w:w="1657"/>
        <w:gridCol w:w="1703"/>
        <w:gridCol w:w="1699"/>
        <w:gridCol w:w="1507"/>
        <w:gridCol w:w="1844"/>
      </w:tblGrid>
      <w:tr w:rsidR="008D3E52" w:rsidTr="00C45621">
        <w:tc>
          <w:tcPr>
            <w:tcW w:w="1651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Present tense verb</w:t>
            </w:r>
          </w:p>
        </w:tc>
        <w:tc>
          <w:tcPr>
            <w:tcW w:w="160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Past tense verb</w:t>
            </w:r>
          </w:p>
        </w:tc>
        <w:tc>
          <w:tcPr>
            <w:tcW w:w="163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Future tense verb</w:t>
            </w:r>
          </w:p>
        </w:tc>
        <w:tc>
          <w:tcPr>
            <w:tcW w:w="166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Helping verb</w:t>
            </w:r>
          </w:p>
        </w:tc>
        <w:tc>
          <w:tcPr>
            <w:tcW w:w="165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Linking verb</w:t>
            </w:r>
          </w:p>
        </w:tc>
        <w:tc>
          <w:tcPr>
            <w:tcW w:w="170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Transitive verb</w:t>
            </w:r>
          </w:p>
        </w:tc>
        <w:tc>
          <w:tcPr>
            <w:tcW w:w="1699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Emphatic verb</w:t>
            </w:r>
          </w:p>
        </w:tc>
        <w:tc>
          <w:tcPr>
            <w:tcW w:w="150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Infinitive verb</w:t>
            </w:r>
          </w:p>
        </w:tc>
        <w:tc>
          <w:tcPr>
            <w:tcW w:w="1844" w:type="dxa"/>
          </w:tcPr>
          <w:p w:rsidR="008D3E52" w:rsidRDefault="008D3E52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Gerund/Participle verb</w:t>
            </w:r>
          </w:p>
        </w:tc>
      </w:tr>
      <w:tr w:rsidR="008D3E52" w:rsidTr="00C45621">
        <w:trPr>
          <w:trHeight w:val="602"/>
        </w:trPr>
        <w:tc>
          <w:tcPr>
            <w:tcW w:w="1651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0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36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6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5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703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699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507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  <w:tc>
          <w:tcPr>
            <w:tcW w:w="1844" w:type="dxa"/>
          </w:tcPr>
          <w:p w:rsidR="008D3E52" w:rsidRDefault="008D3E52" w:rsidP="00C45621">
            <w:pPr>
              <w:rPr>
                <w:rFonts w:ascii="Garamond" w:hAnsi="Garamond"/>
              </w:rPr>
            </w:pPr>
          </w:p>
        </w:tc>
      </w:tr>
    </w:tbl>
    <w:p w:rsidR="008D3E52" w:rsidRDefault="008D3E52" w:rsidP="006F5698">
      <w:pPr>
        <w:rPr>
          <w:rFonts w:ascii="Garamond" w:hAnsi="Garamond"/>
        </w:rPr>
      </w:pPr>
    </w:p>
    <w:p w:rsidR="007A1D11" w:rsidRDefault="007A1D11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3. </w:t>
      </w:r>
      <w:r w:rsidR="008D3E52" w:rsidRPr="006F5698">
        <w:rPr>
          <w:rFonts w:ascii="Garamond" w:hAnsi="Garamond"/>
          <w:b/>
        </w:rPr>
        <w:t xml:space="preserve">Be able </w:t>
      </w:r>
      <w:r w:rsidR="008D3E52">
        <w:rPr>
          <w:rFonts w:ascii="Garamond" w:hAnsi="Garamond"/>
          <w:b/>
        </w:rPr>
        <w:t>to define the following concepts:</w:t>
      </w:r>
      <w:r w:rsidR="008D3E52">
        <w:rPr>
          <w:rFonts w:ascii="Garamond" w:hAnsi="Garamond"/>
        </w:rPr>
        <w:t xml:space="preserve"> a</w:t>
      </w:r>
      <w:r>
        <w:rPr>
          <w:rFonts w:ascii="Garamond" w:hAnsi="Garamond"/>
        </w:rPr>
        <w:t>djective</w:t>
      </w:r>
      <w:r w:rsidR="008D3E52">
        <w:rPr>
          <w:rFonts w:ascii="Garamond" w:hAnsi="Garamond"/>
        </w:rPr>
        <w:t>, adverb</w:t>
      </w:r>
      <w:r>
        <w:rPr>
          <w:rFonts w:ascii="Garamond" w:hAnsi="Garamond"/>
        </w:rPr>
        <w:t xml:space="preserve">: </w:t>
      </w:r>
    </w:p>
    <w:p w:rsidR="00F10D3F" w:rsidRDefault="008D3E52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When should a writer place a comma between two adjectives?  </w:t>
      </w:r>
    </w:p>
    <w:p w:rsidR="008D3E52" w:rsidRDefault="008D3E52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Write a sentence that appropriately uses a comma between two adjectives: </w:t>
      </w:r>
    </w:p>
    <w:p w:rsidR="008D3E52" w:rsidRDefault="008D3E52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Write a sentence that appropriately uses two adjectives that DO NOT need a comma between them:  </w:t>
      </w:r>
    </w:p>
    <w:p w:rsidR="008D3E52" w:rsidRDefault="008D3E52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Write a sentence that uses an adverb that describes an adjective: </w:t>
      </w:r>
    </w:p>
    <w:p w:rsidR="008D3E52" w:rsidRDefault="008D3E52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Write a sentence that uses an adverb that describes a verb: </w:t>
      </w:r>
    </w:p>
    <w:p w:rsidR="00017D31" w:rsidRDefault="00017D31" w:rsidP="00F00BFD">
      <w:pPr>
        <w:rPr>
          <w:rFonts w:ascii="Garamond" w:hAnsi="Garamond"/>
        </w:rPr>
      </w:pPr>
    </w:p>
    <w:p w:rsidR="00F00BFD" w:rsidRDefault="00017D31" w:rsidP="00F00BFD">
      <w:pPr>
        <w:rPr>
          <w:rFonts w:ascii="Garamond" w:hAnsi="Garamond"/>
        </w:rPr>
      </w:pPr>
      <w:r>
        <w:rPr>
          <w:rFonts w:ascii="Garamond" w:hAnsi="Garamond"/>
        </w:rPr>
        <w:t>4</w:t>
      </w:r>
      <w:r w:rsidR="00F00BFD">
        <w:rPr>
          <w:rFonts w:ascii="Garamond" w:hAnsi="Garamond"/>
        </w:rPr>
        <w:t xml:space="preserve">. </w:t>
      </w:r>
      <w:r w:rsidR="00F00BFD" w:rsidRPr="006F5698">
        <w:rPr>
          <w:rFonts w:ascii="Garamond" w:hAnsi="Garamond"/>
          <w:b/>
        </w:rPr>
        <w:t xml:space="preserve">Be able </w:t>
      </w:r>
      <w:r w:rsidR="00F00BFD">
        <w:rPr>
          <w:rFonts w:ascii="Garamond" w:hAnsi="Garamond"/>
          <w:b/>
        </w:rPr>
        <w:t>to define the following concepts: pronoun, pronoun case, pronoun reference, reflex</w:t>
      </w:r>
      <w:r>
        <w:rPr>
          <w:rFonts w:ascii="Garamond" w:hAnsi="Garamond"/>
          <w:b/>
        </w:rPr>
        <w:t>ive pronoun, possessive pronoun</w:t>
      </w:r>
      <w:r w:rsidR="00F00BFD">
        <w:rPr>
          <w:rFonts w:ascii="Garamond" w:hAnsi="Garamond"/>
          <w:b/>
        </w:rPr>
        <w:t xml:space="preserve"> </w:t>
      </w:r>
    </w:p>
    <w:p w:rsidR="00F10D3F" w:rsidRDefault="00F00BFD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What is an antecedent?  </w:t>
      </w:r>
    </w:p>
    <w:p w:rsidR="00017D31" w:rsidRDefault="00017D31" w:rsidP="00017D31">
      <w:pPr>
        <w:rPr>
          <w:rFonts w:ascii="Garamond" w:hAnsi="Garamond"/>
        </w:rPr>
      </w:pPr>
      <w:r>
        <w:rPr>
          <w:rFonts w:ascii="Garamond" w:hAnsi="Garamond"/>
        </w:rPr>
        <w:t>What’s the singular feminine 3</w:t>
      </w:r>
      <w:r w:rsidRPr="007A1D11">
        <w:rPr>
          <w:rFonts w:ascii="Garamond" w:hAnsi="Garamond"/>
          <w:vertAlign w:val="superscript"/>
        </w:rPr>
        <w:t>rd</w:t>
      </w:r>
      <w:r>
        <w:rPr>
          <w:rFonts w:ascii="Garamond" w:hAnsi="Garamond"/>
        </w:rPr>
        <w:t xml:space="preserve"> person subject pronoun? 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What’s the plural 3</w:t>
      </w:r>
      <w:r w:rsidRPr="00794DFF">
        <w:rPr>
          <w:rFonts w:ascii="Garamond" w:hAnsi="Garamond"/>
          <w:vertAlign w:val="superscript"/>
        </w:rPr>
        <w:t>rd</w:t>
      </w:r>
      <w:r>
        <w:rPr>
          <w:rFonts w:ascii="Garamond" w:hAnsi="Garamond"/>
        </w:rPr>
        <w:t xml:space="preserve"> person reflexive pronoun?  </w:t>
      </w:r>
    </w:p>
    <w:p w:rsidR="00F00BFD" w:rsidRPr="008D3E52" w:rsidRDefault="00F00BFD" w:rsidP="00F00BFD">
      <w:pPr>
        <w:rPr>
          <w:rFonts w:ascii="Garamond" w:hAnsi="Garamond"/>
          <w:b/>
        </w:rPr>
      </w:pPr>
      <w:r w:rsidRPr="008D3E52">
        <w:rPr>
          <w:rFonts w:ascii="Garamond" w:hAnsi="Garamond"/>
          <w:b/>
        </w:rPr>
        <w:lastRenderedPageBreak/>
        <w:t xml:space="preserve">Do the following sentence contain the following </w:t>
      </w:r>
      <w:r>
        <w:rPr>
          <w:rFonts w:ascii="Garamond" w:hAnsi="Garamond"/>
          <w:b/>
        </w:rPr>
        <w:t>pronouns</w:t>
      </w:r>
      <w:r w:rsidRPr="008D3E52">
        <w:rPr>
          <w:rFonts w:ascii="Garamond" w:hAnsi="Garamond"/>
          <w:b/>
        </w:rPr>
        <w:t xml:space="preserve">?  If so, write the </w:t>
      </w:r>
      <w:r>
        <w:rPr>
          <w:rFonts w:ascii="Garamond" w:hAnsi="Garamond"/>
          <w:b/>
        </w:rPr>
        <w:t>pronouns</w:t>
      </w:r>
      <w:r w:rsidRPr="008D3E52">
        <w:rPr>
          <w:rFonts w:ascii="Garamond" w:hAnsi="Garamond"/>
          <w:b/>
        </w:rPr>
        <w:t xml:space="preserve"> in the appropriate boxes (some </w:t>
      </w:r>
      <w:r>
        <w:rPr>
          <w:rFonts w:ascii="Garamond" w:hAnsi="Garamond"/>
          <w:b/>
        </w:rPr>
        <w:t>pronouns</w:t>
      </w:r>
      <w:r w:rsidRPr="008D3E52">
        <w:rPr>
          <w:rFonts w:ascii="Garamond" w:hAnsi="Garamond"/>
          <w:b/>
        </w:rPr>
        <w:t xml:space="preserve"> will be written more than once): </w:t>
      </w:r>
    </w:p>
    <w:p w:rsidR="00F00BFD" w:rsidRDefault="00F00BFD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“I can’t believe it myself.”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93"/>
        <w:gridCol w:w="2993"/>
        <w:gridCol w:w="2993"/>
        <w:gridCol w:w="2993"/>
        <w:gridCol w:w="2994"/>
      </w:tblGrid>
      <w:tr w:rsidR="00F00BFD" w:rsidTr="00F00BFD"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Reflexive Pronoun</w:t>
            </w: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Possessive Pronoun- First- Person</w:t>
            </w: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Possessive Pronoun- Third- Person</w:t>
            </w: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Plural Pronoun</w:t>
            </w:r>
          </w:p>
        </w:tc>
        <w:tc>
          <w:tcPr>
            <w:tcW w:w="2994" w:type="dxa"/>
          </w:tcPr>
          <w:p w:rsidR="00F00BFD" w:rsidRDefault="00F00BFD" w:rsidP="007A1D1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Singular Pronoun</w:t>
            </w:r>
          </w:p>
        </w:tc>
      </w:tr>
      <w:tr w:rsidR="00F00BFD" w:rsidTr="00F00BFD">
        <w:trPr>
          <w:trHeight w:val="512"/>
        </w:trPr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</w:p>
        </w:tc>
        <w:tc>
          <w:tcPr>
            <w:tcW w:w="2993" w:type="dxa"/>
          </w:tcPr>
          <w:p w:rsidR="00F00BFD" w:rsidRDefault="00F00BFD" w:rsidP="007A1D11">
            <w:pPr>
              <w:rPr>
                <w:rFonts w:ascii="Garamond" w:hAnsi="Garamond"/>
              </w:rPr>
            </w:pPr>
          </w:p>
        </w:tc>
        <w:tc>
          <w:tcPr>
            <w:tcW w:w="2994" w:type="dxa"/>
          </w:tcPr>
          <w:p w:rsidR="00F00BFD" w:rsidRDefault="00F00BFD" w:rsidP="007A1D11">
            <w:pPr>
              <w:rPr>
                <w:rFonts w:ascii="Garamond" w:hAnsi="Garamond"/>
              </w:rPr>
            </w:pPr>
          </w:p>
        </w:tc>
      </w:tr>
    </w:tbl>
    <w:p w:rsidR="00F00BFD" w:rsidRDefault="00F00BFD" w:rsidP="007A1D11">
      <w:pPr>
        <w:rPr>
          <w:rFonts w:ascii="Garamond" w:hAnsi="Garamond"/>
        </w:rPr>
      </w:pPr>
    </w:p>
    <w:p w:rsidR="00F00BFD" w:rsidRDefault="00F00BFD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The student took her application from her backpack and gave it to them.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0"/>
        <w:gridCol w:w="2366"/>
        <w:gridCol w:w="2409"/>
        <w:gridCol w:w="2250"/>
        <w:gridCol w:w="2880"/>
        <w:gridCol w:w="3001"/>
      </w:tblGrid>
      <w:tr w:rsidR="00017D31" w:rsidTr="00017D31">
        <w:tc>
          <w:tcPr>
            <w:tcW w:w="206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Reflexive Pronoun</w:t>
            </w:r>
          </w:p>
        </w:tc>
        <w:tc>
          <w:tcPr>
            <w:tcW w:w="2366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First- Person Pronoun</w:t>
            </w:r>
          </w:p>
        </w:tc>
        <w:tc>
          <w:tcPr>
            <w:tcW w:w="2409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Third- Person Pronoun</w:t>
            </w:r>
          </w:p>
        </w:tc>
        <w:tc>
          <w:tcPr>
            <w:tcW w:w="225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Plural Pronoun</w:t>
            </w:r>
          </w:p>
        </w:tc>
        <w:tc>
          <w:tcPr>
            <w:tcW w:w="288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Possessive Pronoun</w:t>
            </w:r>
          </w:p>
        </w:tc>
        <w:tc>
          <w:tcPr>
            <w:tcW w:w="3001" w:type="dxa"/>
          </w:tcPr>
          <w:p w:rsidR="00017D31" w:rsidRDefault="00017D31" w:rsidP="00C45621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Singular Pronoun</w:t>
            </w:r>
          </w:p>
        </w:tc>
      </w:tr>
      <w:tr w:rsidR="00017D31" w:rsidTr="00017D31">
        <w:trPr>
          <w:trHeight w:val="584"/>
        </w:trPr>
        <w:tc>
          <w:tcPr>
            <w:tcW w:w="206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  <w:tc>
          <w:tcPr>
            <w:tcW w:w="2366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  <w:tc>
          <w:tcPr>
            <w:tcW w:w="2409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  <w:tc>
          <w:tcPr>
            <w:tcW w:w="225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  <w:tc>
          <w:tcPr>
            <w:tcW w:w="2880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  <w:tc>
          <w:tcPr>
            <w:tcW w:w="3001" w:type="dxa"/>
          </w:tcPr>
          <w:p w:rsidR="00017D31" w:rsidRDefault="00017D31" w:rsidP="00C45621">
            <w:pPr>
              <w:rPr>
                <w:rFonts w:ascii="Garamond" w:hAnsi="Garamond"/>
              </w:rPr>
            </w:pPr>
          </w:p>
        </w:tc>
      </w:tr>
    </w:tbl>
    <w:p w:rsidR="00F10D3F" w:rsidRDefault="00F00BFD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 </w:t>
      </w:r>
    </w:p>
    <w:p w:rsidR="00017D31" w:rsidRDefault="00017D31" w:rsidP="00017D31">
      <w:pPr>
        <w:rPr>
          <w:rFonts w:ascii="Garamond" w:hAnsi="Garamond"/>
        </w:rPr>
      </w:pPr>
      <w:r>
        <w:rPr>
          <w:rFonts w:ascii="Garamond" w:hAnsi="Garamond"/>
        </w:rPr>
        <w:t xml:space="preserve">5.  </w:t>
      </w:r>
      <w:r w:rsidRPr="006F5698">
        <w:rPr>
          <w:rFonts w:ascii="Garamond" w:hAnsi="Garamond"/>
          <w:b/>
        </w:rPr>
        <w:t xml:space="preserve">Be able </w:t>
      </w:r>
      <w:r>
        <w:rPr>
          <w:rFonts w:ascii="Garamond" w:hAnsi="Garamond"/>
          <w:b/>
        </w:rPr>
        <w:t xml:space="preserve">to define the following concepts: conjunction, subordinating conjunction, coordinating conjunction, correlative conjunction </w:t>
      </w:r>
    </w:p>
    <w:p w:rsidR="00017D31" w:rsidRDefault="00017D31" w:rsidP="00017D31">
      <w:pPr>
        <w:rPr>
          <w:rFonts w:ascii="Garamond" w:hAnsi="Garamond"/>
        </w:rPr>
      </w:pPr>
      <w:r>
        <w:rPr>
          <w:rFonts w:ascii="Garamond" w:hAnsi="Garamond"/>
        </w:rPr>
        <w:t>What’s the difference between a subordination conjunction and a coordinating conjunction?</w:t>
      </w:r>
    </w:p>
    <w:p w:rsidR="00017D31" w:rsidRDefault="00017D31" w:rsidP="00017D31">
      <w:pPr>
        <w:rPr>
          <w:rFonts w:ascii="Garamond" w:hAnsi="Garamond"/>
        </w:rPr>
      </w:pPr>
      <w:r>
        <w:rPr>
          <w:rFonts w:ascii="Garamond" w:hAnsi="Garamond"/>
        </w:rPr>
        <w:t>List the seven coordinating conjunctions here:</w:t>
      </w:r>
    </w:p>
    <w:p w:rsidR="00017D31" w:rsidRDefault="00017D31" w:rsidP="00017D31">
      <w:pPr>
        <w:rPr>
          <w:rFonts w:ascii="Garamond" w:hAnsi="Garamond"/>
        </w:rPr>
      </w:pPr>
      <w:r>
        <w:rPr>
          <w:rFonts w:ascii="Garamond" w:hAnsi="Garamond"/>
        </w:rPr>
        <w:t>List five common subordinating conjunctions here:</w:t>
      </w:r>
    </w:p>
    <w:p w:rsidR="00017D31" w:rsidRDefault="00017D31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List three common correlative conjunctions here:  </w:t>
      </w:r>
    </w:p>
    <w:p w:rsidR="00017D31" w:rsidRDefault="00017D31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How do all three types of conjunctions impact sentence punctuation?  </w:t>
      </w:r>
    </w:p>
    <w:p w:rsidR="00F10D3F" w:rsidRDefault="00F10D3F" w:rsidP="007A1D11">
      <w:pPr>
        <w:rPr>
          <w:rFonts w:ascii="Garamond" w:hAnsi="Garamond"/>
        </w:rPr>
      </w:pPr>
    </w:p>
    <w:p w:rsidR="007A1D11" w:rsidRPr="00661DC0" w:rsidRDefault="00017D31" w:rsidP="007A1D11">
      <w:pPr>
        <w:rPr>
          <w:rFonts w:ascii="Garamond" w:hAnsi="Garamond"/>
          <w:b/>
        </w:rPr>
      </w:pPr>
      <w:r w:rsidRPr="00661DC0">
        <w:rPr>
          <w:rFonts w:ascii="Garamond" w:hAnsi="Garamond"/>
          <w:b/>
        </w:rPr>
        <w:lastRenderedPageBreak/>
        <w:t>6</w:t>
      </w:r>
      <w:r w:rsidR="007A1D11" w:rsidRPr="00661DC0">
        <w:rPr>
          <w:rFonts w:ascii="Garamond" w:hAnsi="Garamond"/>
          <w:b/>
        </w:rPr>
        <w:t xml:space="preserve">.  Preposition definition: </w:t>
      </w:r>
    </w:p>
    <w:p w:rsidR="007A1D11" w:rsidRDefault="00F10D3F" w:rsidP="007A1D11">
      <w:pPr>
        <w:rPr>
          <w:rFonts w:ascii="Garamond" w:hAnsi="Garamond"/>
        </w:rPr>
      </w:pPr>
      <w:r>
        <w:rPr>
          <w:rFonts w:ascii="Garamond" w:hAnsi="Garamond"/>
        </w:rPr>
        <w:t>Examples of preposition</w:t>
      </w:r>
      <w:r w:rsidR="007A1D11">
        <w:rPr>
          <w:rFonts w:ascii="Garamond" w:hAnsi="Garamond"/>
        </w:rPr>
        <w:t>s in the context of a sentence:</w:t>
      </w:r>
    </w:p>
    <w:p w:rsidR="00661DC0" w:rsidRDefault="00661DC0" w:rsidP="007A1D11">
      <w:pPr>
        <w:rPr>
          <w:rFonts w:ascii="Garamond" w:hAnsi="Garamond"/>
          <w:i/>
        </w:rPr>
      </w:pPr>
      <w:r>
        <w:rPr>
          <w:rFonts w:ascii="Garamond" w:hAnsi="Garamond"/>
        </w:rPr>
        <w:t xml:space="preserve">Write a sentence where a preposition is indicating a </w:t>
      </w:r>
      <w:r>
        <w:rPr>
          <w:rFonts w:ascii="Garamond" w:hAnsi="Garamond"/>
          <w:i/>
        </w:rPr>
        <w:t xml:space="preserve">physical location: </w:t>
      </w:r>
    </w:p>
    <w:p w:rsidR="00661DC0" w:rsidRDefault="00661DC0" w:rsidP="007A1D11">
      <w:pPr>
        <w:rPr>
          <w:rFonts w:ascii="Garamond" w:hAnsi="Garamond"/>
          <w:i/>
        </w:rPr>
      </w:pPr>
      <w:r>
        <w:rPr>
          <w:rFonts w:ascii="Garamond" w:hAnsi="Garamond"/>
        </w:rPr>
        <w:t xml:space="preserve">Write a sentence where a preposition is indicating a </w:t>
      </w:r>
      <w:r>
        <w:rPr>
          <w:rFonts w:ascii="Garamond" w:hAnsi="Garamond"/>
          <w:i/>
        </w:rPr>
        <w:t xml:space="preserve">location in time: </w:t>
      </w:r>
    </w:p>
    <w:p w:rsidR="00661DC0" w:rsidRPr="00661DC0" w:rsidRDefault="00661DC0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 Write a sentence where a preposition is indicating </w:t>
      </w:r>
      <w:r>
        <w:rPr>
          <w:rFonts w:ascii="Garamond" w:hAnsi="Garamond"/>
          <w:i/>
        </w:rPr>
        <w:t xml:space="preserve">a </w:t>
      </w:r>
      <w:r w:rsidR="00E31B97">
        <w:rPr>
          <w:rFonts w:ascii="Garamond" w:hAnsi="Garamond"/>
          <w:i/>
        </w:rPr>
        <w:t>modification</w:t>
      </w:r>
      <w:r>
        <w:rPr>
          <w:rFonts w:ascii="Garamond" w:hAnsi="Garamond"/>
        </w:rPr>
        <w:t xml:space="preserve"> </w:t>
      </w:r>
    </w:p>
    <w:p w:rsidR="007A1D11" w:rsidRPr="00661DC0" w:rsidRDefault="00661DC0" w:rsidP="007A1D11">
      <w:pPr>
        <w:rPr>
          <w:rFonts w:ascii="Garamond" w:hAnsi="Garamond"/>
          <w:b/>
        </w:rPr>
      </w:pPr>
      <w:r w:rsidRPr="00661DC0">
        <w:rPr>
          <w:rFonts w:ascii="Garamond" w:hAnsi="Garamond"/>
          <w:b/>
        </w:rPr>
        <w:t>7</w:t>
      </w:r>
      <w:r w:rsidR="007A1D11" w:rsidRPr="00661DC0">
        <w:rPr>
          <w:rFonts w:ascii="Garamond" w:hAnsi="Garamond"/>
          <w:b/>
        </w:rPr>
        <w:t xml:space="preserve">. Interjection definition: </w:t>
      </w:r>
    </w:p>
    <w:p w:rsidR="007A1D11" w:rsidRDefault="00F10D3F" w:rsidP="007A1D11">
      <w:pPr>
        <w:rPr>
          <w:rFonts w:ascii="Garamond" w:hAnsi="Garamond"/>
        </w:rPr>
      </w:pPr>
      <w:r>
        <w:rPr>
          <w:rFonts w:ascii="Garamond" w:hAnsi="Garamond"/>
        </w:rPr>
        <w:t>Examples of interjection</w:t>
      </w:r>
      <w:r w:rsidR="007A1D11">
        <w:rPr>
          <w:rFonts w:ascii="Garamond" w:hAnsi="Garamond"/>
        </w:rPr>
        <w:t>s in the context of a sentence:</w:t>
      </w:r>
    </w:p>
    <w:p w:rsidR="00F10D3F" w:rsidRDefault="00661DC0" w:rsidP="007A1D11">
      <w:pPr>
        <w:rPr>
          <w:rFonts w:ascii="Garamond" w:hAnsi="Garamond"/>
        </w:rPr>
      </w:pPr>
      <w:r>
        <w:rPr>
          <w:rFonts w:ascii="Garamond" w:hAnsi="Garamond"/>
        </w:rPr>
        <w:t xml:space="preserve">How do interjections impact the punctuation of a sentence?  </w:t>
      </w:r>
    </w:p>
    <w:p w:rsidR="00661DC0" w:rsidRDefault="00661DC0" w:rsidP="007A1D11">
      <w:pPr>
        <w:rPr>
          <w:rFonts w:ascii="Garamond" w:hAnsi="Garamond"/>
        </w:rPr>
      </w:pPr>
    </w:p>
    <w:p w:rsidR="00F10D3F" w:rsidRPr="00661DC0" w:rsidRDefault="00661DC0" w:rsidP="007A1D11">
      <w:pPr>
        <w:rPr>
          <w:rFonts w:ascii="Garamond" w:hAnsi="Garamond"/>
          <w:b/>
        </w:rPr>
      </w:pPr>
      <w:r w:rsidRPr="00661DC0">
        <w:rPr>
          <w:rFonts w:ascii="Garamond" w:hAnsi="Garamond"/>
          <w:b/>
        </w:rPr>
        <w:t>8</w:t>
      </w:r>
      <w:r w:rsidR="007A1D11" w:rsidRPr="00661DC0">
        <w:rPr>
          <w:rFonts w:ascii="Garamond" w:hAnsi="Garamond"/>
          <w:b/>
        </w:rPr>
        <w:t xml:space="preserve">. Article definition: </w:t>
      </w:r>
    </w:p>
    <w:p w:rsidR="00794DFF" w:rsidRDefault="00794DFF" w:rsidP="007A1D11">
      <w:pPr>
        <w:rPr>
          <w:rFonts w:ascii="Garamond" w:hAnsi="Garamond"/>
        </w:rPr>
      </w:pPr>
      <w:r>
        <w:rPr>
          <w:rFonts w:ascii="Garamond" w:hAnsi="Garamond"/>
        </w:rPr>
        <w:t>What’s the difference between a definite article and an indefinite article?</w:t>
      </w:r>
    </w:p>
    <w:p w:rsidR="00661DC0" w:rsidRDefault="00661DC0" w:rsidP="007A1D11">
      <w:pPr>
        <w:rPr>
          <w:rFonts w:ascii="Garamond" w:hAnsi="Garamond"/>
        </w:rPr>
      </w:pPr>
      <w:r>
        <w:rPr>
          <w:rFonts w:ascii="Garamond" w:hAnsi="Garamond"/>
        </w:rPr>
        <w:br w:type="page"/>
      </w:r>
    </w:p>
    <w:p w:rsidR="007858F2" w:rsidRDefault="007858F2" w:rsidP="007858F2">
      <w:pPr>
        <w:spacing w:after="0" w:line="240" w:lineRule="auto"/>
        <w:rPr>
          <w:rFonts w:ascii="Georgia" w:hAnsi="Georgia"/>
          <w:b/>
          <w:sz w:val="23"/>
          <w:szCs w:val="23"/>
        </w:rPr>
      </w:pPr>
    </w:p>
    <w:p w:rsidR="007858F2" w:rsidRPr="00F00BFD" w:rsidRDefault="007858F2" w:rsidP="007858F2">
      <w:pPr>
        <w:spacing w:after="0" w:line="240" w:lineRule="auto"/>
        <w:rPr>
          <w:rFonts w:ascii="Georgia" w:hAnsi="Georgia"/>
          <w:b/>
          <w:sz w:val="20"/>
          <w:szCs w:val="23"/>
        </w:rPr>
      </w:pPr>
      <w:r w:rsidRPr="00F00BFD">
        <w:rPr>
          <w:rFonts w:ascii="Georgia" w:hAnsi="Georgia"/>
          <w:b/>
          <w:sz w:val="20"/>
          <w:szCs w:val="23"/>
        </w:rPr>
        <w:t xml:space="preserve">Matching. Match the following term to its definition.  </w:t>
      </w:r>
    </w:p>
    <w:p w:rsidR="007858F2" w:rsidRPr="00F00BFD" w:rsidRDefault="007858F2" w:rsidP="007858F2">
      <w:pPr>
        <w:spacing w:after="0" w:line="240" w:lineRule="auto"/>
        <w:rPr>
          <w:rFonts w:ascii="Georgia" w:hAnsi="Georgia"/>
          <w:b/>
          <w:sz w:val="20"/>
          <w:szCs w:val="23"/>
        </w:rPr>
      </w:pPr>
    </w:p>
    <w:p w:rsidR="007858F2" w:rsidRPr="00F00BFD" w:rsidRDefault="007858F2" w:rsidP="007858F2">
      <w:pPr>
        <w:pStyle w:val="ListParagraph"/>
        <w:numPr>
          <w:ilvl w:val="0"/>
          <w:numId w:val="1"/>
        </w:numPr>
        <w:spacing w:after="0" w:line="240" w:lineRule="auto"/>
        <w:rPr>
          <w:rFonts w:ascii="Georgia" w:hAnsi="Georgia"/>
          <w:b/>
          <w:sz w:val="20"/>
          <w:szCs w:val="23"/>
        </w:rPr>
      </w:pPr>
      <w:r w:rsidRPr="00F00BFD">
        <w:rPr>
          <w:rFonts w:ascii="Georgia" w:hAnsi="Georgia"/>
          <w:b/>
          <w:sz w:val="20"/>
          <w:szCs w:val="23"/>
        </w:rPr>
        <w:t>Fragment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>B. FANBOYS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>C. Coordinating Conjunction</w:t>
      </w:r>
      <w:r w:rsidRPr="00F00BFD">
        <w:rPr>
          <w:rFonts w:ascii="Georgia" w:hAnsi="Georgia"/>
          <w:b/>
          <w:sz w:val="20"/>
          <w:szCs w:val="23"/>
        </w:rPr>
        <w:tab/>
        <w:t xml:space="preserve">       D. Run-on</w:t>
      </w:r>
    </w:p>
    <w:p w:rsidR="007858F2" w:rsidRPr="00F00BFD" w:rsidRDefault="007858F2" w:rsidP="007858F2">
      <w:pPr>
        <w:spacing w:after="0" w:line="240" w:lineRule="auto"/>
        <w:ind w:left="360"/>
        <w:rPr>
          <w:rFonts w:ascii="Georgia" w:hAnsi="Georgia"/>
          <w:b/>
          <w:sz w:val="20"/>
          <w:szCs w:val="23"/>
        </w:rPr>
      </w:pPr>
      <w:r w:rsidRPr="00F00BFD">
        <w:rPr>
          <w:rFonts w:ascii="Georgia" w:hAnsi="Georgia"/>
          <w:b/>
          <w:sz w:val="20"/>
          <w:szCs w:val="23"/>
        </w:rPr>
        <w:t>E. Semi-Colon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>F. Article</w:t>
      </w:r>
      <w:r w:rsidRPr="00F00BFD">
        <w:rPr>
          <w:rFonts w:ascii="Georgia" w:hAnsi="Georgia"/>
          <w:b/>
          <w:sz w:val="20"/>
          <w:szCs w:val="23"/>
        </w:rPr>
        <w:tab/>
        <w:t>G. Noun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>H. Verb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 xml:space="preserve">I. Adjective </w:t>
      </w:r>
    </w:p>
    <w:p w:rsidR="007858F2" w:rsidRPr="00F00BFD" w:rsidRDefault="007858F2" w:rsidP="007858F2">
      <w:pPr>
        <w:spacing w:after="0" w:line="240" w:lineRule="auto"/>
        <w:ind w:left="360"/>
        <w:rPr>
          <w:rFonts w:ascii="Georgia" w:hAnsi="Georgia"/>
          <w:b/>
          <w:sz w:val="20"/>
          <w:szCs w:val="23"/>
        </w:rPr>
      </w:pPr>
      <w:r w:rsidRPr="00F00BFD">
        <w:rPr>
          <w:rFonts w:ascii="Georgia" w:hAnsi="Georgia"/>
          <w:b/>
          <w:sz w:val="20"/>
          <w:szCs w:val="23"/>
        </w:rPr>
        <w:t>J. Adverb</w:t>
      </w:r>
      <w:r w:rsidRPr="00F00BFD">
        <w:rPr>
          <w:rFonts w:ascii="Georgia" w:hAnsi="Georgia"/>
          <w:b/>
          <w:sz w:val="20"/>
          <w:szCs w:val="23"/>
        </w:rPr>
        <w:tab/>
      </w:r>
      <w:r w:rsidRPr="00F00BFD">
        <w:rPr>
          <w:rFonts w:ascii="Georgia" w:hAnsi="Georgia"/>
          <w:b/>
          <w:sz w:val="20"/>
          <w:szCs w:val="23"/>
        </w:rPr>
        <w:tab/>
        <w:t xml:space="preserve">K.Comma </w:t>
      </w:r>
      <w:r w:rsidRPr="00F00BFD">
        <w:rPr>
          <w:rFonts w:ascii="Georgia" w:hAnsi="Georgia"/>
          <w:b/>
          <w:sz w:val="20"/>
          <w:szCs w:val="23"/>
        </w:rPr>
        <w:tab/>
      </w:r>
    </w:p>
    <w:p w:rsidR="007858F2" w:rsidRPr="00F00BFD" w:rsidRDefault="007858F2" w:rsidP="007858F2">
      <w:pPr>
        <w:spacing w:after="0" w:line="240" w:lineRule="auto"/>
        <w:ind w:left="360"/>
        <w:rPr>
          <w:rFonts w:ascii="Georgia" w:hAnsi="Georgia"/>
          <w:b/>
          <w:sz w:val="20"/>
          <w:szCs w:val="23"/>
        </w:rPr>
      </w:pP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_____1. This is a punctuation mark that can replace a period.  It can be placed between two complete sentences.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_____2. This is a group of words that can’t stand on its own.  Often this group of words is missing a subject, verb, or begins with a subordinator.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_____3.  This part of speech is used to describe a noun.  Words in this category can indicate color, size, order, shape, etc.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_____4. This is a punctuation mark that can: come between words in a series, separate two independent clauses with a FANBOY, separate a dependent clause and an in independent clause, etc.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lastRenderedPageBreak/>
        <w:t>_____5.  This acronym stands for</w:t>
      </w:r>
      <w:r w:rsidR="00A63B4A">
        <w:rPr>
          <w:rFonts w:ascii="Georgia" w:hAnsi="Georgia"/>
          <w:sz w:val="20"/>
          <w:szCs w:val="23"/>
        </w:rPr>
        <w:t>:</w:t>
      </w:r>
      <w:r w:rsidRPr="00F00BFD">
        <w:rPr>
          <w:rFonts w:ascii="Georgia" w:hAnsi="Georgia"/>
          <w:sz w:val="20"/>
          <w:szCs w:val="23"/>
        </w:rPr>
        <w:t xml:space="preserve"> for, and, nor, but, or, yet, so. These words can separate two independent clauses with a comma.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_____6. This part of speech is normally the subject of a sentence.  It can be a person, place, thing, or idea.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_____7. This group of words contains more than one independent clause and is not properly punctuated.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_____8. This part of speech tells the reader what the subject of a sentence is doing or links the subject of the sentenced to more information about the subject.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_____9.  This part of speech can link two independent clauses when accompanied by a period.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_____10.  This part of speech can describe a verb or an adjective.  </w:t>
      </w:r>
    </w:p>
    <w:p w:rsidR="007858F2" w:rsidRPr="00F00BFD" w:rsidRDefault="007858F2" w:rsidP="007858F2">
      <w:pPr>
        <w:spacing w:after="0" w:line="480" w:lineRule="auto"/>
        <w:ind w:left="360"/>
        <w:rPr>
          <w:rFonts w:ascii="Georgia" w:hAnsi="Georgia"/>
          <w:sz w:val="20"/>
          <w:szCs w:val="23"/>
        </w:rPr>
      </w:pPr>
      <w:r w:rsidRPr="00F00BFD">
        <w:rPr>
          <w:rFonts w:ascii="Georgia" w:hAnsi="Georgia"/>
          <w:sz w:val="20"/>
          <w:szCs w:val="23"/>
        </w:rPr>
        <w:t xml:space="preserve">_____ 11. This part of speech refers to the words: </w:t>
      </w:r>
      <w:r w:rsidRPr="00F00BFD">
        <w:rPr>
          <w:rFonts w:ascii="Georgia" w:hAnsi="Georgia"/>
          <w:b/>
          <w:sz w:val="20"/>
          <w:szCs w:val="23"/>
        </w:rPr>
        <w:t>a</w:t>
      </w:r>
      <w:r w:rsidRPr="00F00BFD">
        <w:rPr>
          <w:rFonts w:ascii="Georgia" w:hAnsi="Georgia"/>
          <w:sz w:val="20"/>
          <w:szCs w:val="23"/>
        </w:rPr>
        <w:t xml:space="preserve">, </w:t>
      </w:r>
      <w:r w:rsidRPr="00F00BFD">
        <w:rPr>
          <w:rFonts w:ascii="Georgia" w:hAnsi="Georgia"/>
          <w:b/>
          <w:sz w:val="20"/>
          <w:szCs w:val="23"/>
        </w:rPr>
        <w:t>an</w:t>
      </w:r>
      <w:r w:rsidRPr="00F00BFD">
        <w:rPr>
          <w:rFonts w:ascii="Georgia" w:hAnsi="Georgia"/>
          <w:sz w:val="20"/>
          <w:szCs w:val="23"/>
        </w:rPr>
        <w:t xml:space="preserve">, and </w:t>
      </w:r>
      <w:r w:rsidRPr="00F00BFD">
        <w:rPr>
          <w:rFonts w:ascii="Georgia" w:hAnsi="Georgia"/>
          <w:b/>
          <w:sz w:val="20"/>
          <w:szCs w:val="23"/>
        </w:rPr>
        <w:t xml:space="preserve">the.  </w:t>
      </w:r>
    </w:p>
    <w:p w:rsidR="007A1D11" w:rsidRDefault="007A1D11" w:rsidP="007A1D11">
      <w:pPr>
        <w:rPr>
          <w:rFonts w:ascii="Garamond" w:hAnsi="Garamond"/>
        </w:rPr>
      </w:pPr>
    </w:p>
    <w:p w:rsidR="007A1D11" w:rsidRPr="00A63B4A" w:rsidRDefault="00661DC0">
      <w:pPr>
        <w:rPr>
          <w:rFonts w:ascii="Garamond" w:hAnsi="Garamond"/>
          <w:b/>
        </w:rPr>
      </w:pPr>
      <w:r w:rsidRPr="00A63B4A">
        <w:rPr>
          <w:rFonts w:ascii="Garamond" w:hAnsi="Garamond"/>
          <w:b/>
        </w:rPr>
        <w:t xml:space="preserve">Read the following paragraph and identify the part of speech of each underlined word.  </w:t>
      </w:r>
    </w:p>
    <w:p w:rsidR="00E31B97" w:rsidRDefault="00E31B97" w:rsidP="00A63B4A">
      <w:pPr>
        <w:spacing w:line="480" w:lineRule="auto"/>
        <w:rPr>
          <w:rFonts w:ascii="Garamond" w:hAnsi="Garamond"/>
        </w:rPr>
      </w:pPr>
      <w:r>
        <w:rPr>
          <w:rFonts w:ascii="Garamond" w:hAnsi="Garamond"/>
        </w:rPr>
        <w:lastRenderedPageBreak/>
        <w:t xml:space="preserve">On Tuesday, T-Mobile 1. </w:t>
      </w:r>
      <w:r w:rsidRPr="00E31B97">
        <w:rPr>
          <w:rFonts w:ascii="Garamond" w:hAnsi="Garamond"/>
          <w:u w:val="single"/>
        </w:rPr>
        <w:t>announced</w:t>
      </w:r>
      <w:r>
        <w:rPr>
          <w:rFonts w:ascii="Garamond" w:hAnsi="Garamond"/>
        </w:rPr>
        <w:t xml:space="preserve"> at its 10</w:t>
      </w:r>
      <w:r w:rsidRPr="00E31B97">
        <w:rPr>
          <w:rFonts w:ascii="Garamond" w:hAnsi="Garamond"/>
          <w:vertAlign w:val="superscript"/>
        </w:rPr>
        <w:t>th</w:t>
      </w:r>
      <w:r>
        <w:rPr>
          <w:rFonts w:ascii="Garamond" w:hAnsi="Garamond"/>
        </w:rPr>
        <w:t xml:space="preserve"> “Uncarrier” event in 2. </w:t>
      </w:r>
      <w:r w:rsidRPr="00E31B97">
        <w:rPr>
          <w:rFonts w:ascii="Garamond" w:hAnsi="Garamond"/>
          <w:u w:val="single"/>
        </w:rPr>
        <w:t>Los Angeles</w:t>
      </w:r>
      <w:r>
        <w:rPr>
          <w:rFonts w:ascii="Garamond" w:hAnsi="Garamond"/>
        </w:rPr>
        <w:t xml:space="preserve"> that it will stop counting 3. </w:t>
      </w:r>
      <w:r w:rsidRPr="00E31B97">
        <w:rPr>
          <w:rFonts w:ascii="Garamond" w:hAnsi="Garamond"/>
          <w:u w:val="single"/>
        </w:rPr>
        <w:t>video</w:t>
      </w:r>
      <w:r>
        <w:rPr>
          <w:rFonts w:ascii="Garamond" w:hAnsi="Garamond"/>
        </w:rPr>
        <w:t xml:space="preserve"> streaming from certain services 4. </w:t>
      </w:r>
      <w:r w:rsidRPr="00E31B97">
        <w:rPr>
          <w:rFonts w:ascii="Garamond" w:hAnsi="Garamond"/>
          <w:u w:val="single"/>
        </w:rPr>
        <w:t>against</w:t>
      </w:r>
      <w:r>
        <w:rPr>
          <w:rFonts w:ascii="Garamond" w:hAnsi="Garamond"/>
        </w:rPr>
        <w:t xml:space="preserve"> customers’ monthly data allotments.  </w:t>
      </w:r>
      <w:r w:rsidR="000B62B6">
        <w:rPr>
          <w:rFonts w:ascii="Garamond" w:hAnsi="Garamond"/>
        </w:rPr>
        <w:t xml:space="preserve">5. </w:t>
      </w:r>
      <w:r w:rsidR="000B62B6" w:rsidRPr="000B62B6">
        <w:rPr>
          <w:rFonts w:ascii="Garamond" w:hAnsi="Garamond"/>
          <w:u w:val="single"/>
        </w:rPr>
        <w:t>After</w:t>
      </w:r>
      <w:r>
        <w:rPr>
          <w:rFonts w:ascii="Garamond" w:hAnsi="Garamond"/>
        </w:rPr>
        <w:t xml:space="preserve"> </w:t>
      </w:r>
      <w:r w:rsidR="000B62B6">
        <w:rPr>
          <w:rFonts w:ascii="Garamond" w:hAnsi="Garamond"/>
        </w:rPr>
        <w:t>T-Mobile delivers next month’s bill,</w:t>
      </w:r>
      <w:r>
        <w:rPr>
          <w:rFonts w:ascii="Garamond" w:hAnsi="Garamond"/>
        </w:rPr>
        <w:t xml:space="preserve"> users with 5. </w:t>
      </w:r>
      <w:r w:rsidRPr="00E31B97">
        <w:rPr>
          <w:rFonts w:ascii="Garamond" w:hAnsi="Garamond"/>
          <w:u w:val="single"/>
        </w:rPr>
        <w:t>a</w:t>
      </w:r>
      <w:r>
        <w:rPr>
          <w:rFonts w:ascii="Garamond" w:hAnsi="Garamond"/>
        </w:rPr>
        <w:t xml:space="preserve"> 3GB data plans of higher will be able to do unlimited mobile streaming from more than 20 services like Netflix, HBO and VUDU.  </w:t>
      </w:r>
      <w:r w:rsidR="000B62B6">
        <w:rPr>
          <w:rFonts w:ascii="Garamond" w:hAnsi="Garamond"/>
        </w:rPr>
        <w:t xml:space="preserve">6. </w:t>
      </w:r>
      <w:r w:rsidRPr="00E31B97">
        <w:rPr>
          <w:rFonts w:ascii="Garamond" w:hAnsi="Garamond"/>
          <w:u w:val="single"/>
        </w:rPr>
        <w:t>Hold the phone</w:t>
      </w:r>
      <w:r>
        <w:rPr>
          <w:rFonts w:ascii="Garamond" w:hAnsi="Garamond"/>
        </w:rPr>
        <w:t xml:space="preserve">, this is exciting news!  </w:t>
      </w:r>
      <w:r w:rsidR="000B62B6">
        <w:rPr>
          <w:rFonts w:ascii="Garamond" w:hAnsi="Garamond"/>
        </w:rPr>
        <w:t xml:space="preserve">7. </w:t>
      </w:r>
      <w:r w:rsidRPr="00E31B97">
        <w:rPr>
          <w:rFonts w:ascii="Garamond" w:hAnsi="Garamond"/>
          <w:u w:val="single"/>
        </w:rPr>
        <w:t>If</w:t>
      </w:r>
      <w:r>
        <w:rPr>
          <w:rFonts w:ascii="Garamond" w:hAnsi="Garamond"/>
        </w:rPr>
        <w:t xml:space="preserve"> this isn’t living the dream, what is?  So what are the </w:t>
      </w:r>
      <w:r w:rsidR="000B62B6">
        <w:rPr>
          <w:rFonts w:ascii="Garamond" w:hAnsi="Garamond"/>
        </w:rPr>
        <w:t xml:space="preserve">8. </w:t>
      </w:r>
      <w:r w:rsidRPr="000B62B6">
        <w:rPr>
          <w:rFonts w:ascii="Garamond" w:hAnsi="Garamond"/>
          <w:u w:val="single"/>
        </w:rPr>
        <w:t>drawbacks</w:t>
      </w:r>
      <w:r>
        <w:rPr>
          <w:rFonts w:ascii="Garamond" w:hAnsi="Garamond"/>
        </w:rPr>
        <w:t xml:space="preserve">?  First, videos will </w:t>
      </w:r>
      <w:r w:rsidR="000B62B6">
        <w:rPr>
          <w:rFonts w:ascii="Garamond" w:hAnsi="Garamond"/>
        </w:rPr>
        <w:t xml:space="preserve">9. </w:t>
      </w:r>
      <w:r w:rsidRPr="000B62B6">
        <w:rPr>
          <w:rFonts w:ascii="Garamond" w:hAnsi="Garamond"/>
          <w:u w:val="single"/>
        </w:rPr>
        <w:t>only</w:t>
      </w:r>
      <w:r>
        <w:rPr>
          <w:rFonts w:ascii="Garamond" w:hAnsi="Garamond"/>
        </w:rPr>
        <w:t xml:space="preserve"> stream at “DVD quality” or 480p.  Nowadays, high-definition 720 p or 1080p have been standard, </w:t>
      </w:r>
      <w:r w:rsidR="000B62B6">
        <w:rPr>
          <w:rFonts w:ascii="Garamond" w:hAnsi="Garamond"/>
        </w:rPr>
        <w:t xml:space="preserve">10. </w:t>
      </w:r>
      <w:r w:rsidRPr="000B62B6">
        <w:rPr>
          <w:rFonts w:ascii="Garamond" w:hAnsi="Garamond"/>
          <w:u w:val="single"/>
        </w:rPr>
        <w:t>and</w:t>
      </w:r>
      <w:r>
        <w:rPr>
          <w:rFonts w:ascii="Garamond" w:hAnsi="Garamond"/>
        </w:rPr>
        <w:t xml:space="preserve"> many consumers have grown accustomed to this picture quality. . . </w:t>
      </w:r>
      <w:r w:rsidR="00A63B4A">
        <w:rPr>
          <w:rFonts w:ascii="Garamond" w:hAnsi="Garamond"/>
        </w:rPr>
        <w:t xml:space="preserve">1. </w:t>
      </w:r>
      <w:r w:rsidR="000B62B6">
        <w:rPr>
          <w:rFonts w:ascii="Garamond" w:hAnsi="Garamond"/>
        </w:rPr>
        <w:t xml:space="preserve"> 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>2.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 xml:space="preserve">3. 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>4.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>5.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>6.</w:t>
      </w:r>
      <w:r w:rsidR="000B62B6">
        <w:rPr>
          <w:rFonts w:ascii="Garamond" w:hAnsi="Garamond"/>
        </w:rPr>
        <w:tab/>
      </w:r>
      <w:r w:rsidR="000B62B6">
        <w:rPr>
          <w:rFonts w:ascii="Garamond" w:hAnsi="Garamond"/>
        </w:rPr>
        <w:tab/>
        <w:t>7.</w:t>
      </w:r>
    </w:p>
    <w:p w:rsidR="000B62B6" w:rsidRPr="000B62B6" w:rsidRDefault="000B62B6" w:rsidP="000B62B6">
      <w:pPr>
        <w:pStyle w:val="ListParagraph"/>
        <w:rPr>
          <w:rFonts w:ascii="Garamond" w:hAnsi="Garamond"/>
        </w:rPr>
      </w:pPr>
      <w:r>
        <w:rPr>
          <w:rFonts w:ascii="Garamond" w:hAnsi="Garamond"/>
        </w:rPr>
        <w:t xml:space="preserve">8.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9. 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10.  </w:t>
      </w:r>
    </w:p>
    <w:sectPr w:rsidR="000B62B6" w:rsidRPr="000B62B6" w:rsidSect="00CE1220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C7506"/>
    <w:multiLevelType w:val="hybridMultilevel"/>
    <w:tmpl w:val="1B92277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6A19A6"/>
    <w:multiLevelType w:val="hybridMultilevel"/>
    <w:tmpl w:val="38C2E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D11"/>
    <w:rsid w:val="00017D31"/>
    <w:rsid w:val="000B62B6"/>
    <w:rsid w:val="002520C5"/>
    <w:rsid w:val="00661DC0"/>
    <w:rsid w:val="006B63A4"/>
    <w:rsid w:val="006F5698"/>
    <w:rsid w:val="00741224"/>
    <w:rsid w:val="007858F2"/>
    <w:rsid w:val="00794DFF"/>
    <w:rsid w:val="007A1D11"/>
    <w:rsid w:val="007A609B"/>
    <w:rsid w:val="008D3E52"/>
    <w:rsid w:val="00A63B4A"/>
    <w:rsid w:val="00CE1220"/>
    <w:rsid w:val="00E31B97"/>
    <w:rsid w:val="00F00BFD"/>
    <w:rsid w:val="00F10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394B1-25A4-45F8-B149-0EC103D0E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58F2"/>
    <w:pPr>
      <w:spacing w:after="200" w:line="276" w:lineRule="auto"/>
      <w:ind w:left="720"/>
      <w:contextualSpacing/>
    </w:pPr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858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6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0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1047</Words>
  <Characters>5970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7003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Newton, Annilee N</dc:creator>
  <cp:keywords/>
  <dc:description/>
  <cp:lastModifiedBy>Chapman, Elizabeth M</cp:lastModifiedBy>
  <cp:revision>2</cp:revision>
  <cp:lastPrinted>2015-11-13T13:19:00Z</cp:lastPrinted>
  <dcterms:created xsi:type="dcterms:W3CDTF">2015-11-13T13:32:00Z</dcterms:created>
  <dcterms:modified xsi:type="dcterms:W3CDTF">2015-11-13T13:32:00Z</dcterms:modified>
</cp:coreProperties>
</file>