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9148F2" w:rsidRDefault="009148F2" w:rsidP="009148F2">
      <w:pPr>
        <w:jc w:val="center"/>
        <w:rPr>
          <w:b/>
          <w:sz w:val="40"/>
          <w:szCs w:val="40"/>
        </w:rPr>
      </w:pPr>
      <w:r w:rsidRPr="009148F2">
        <w:rPr>
          <w:b/>
          <w:i/>
          <w:sz w:val="40"/>
          <w:szCs w:val="40"/>
        </w:rPr>
        <w:t>Dracula</w:t>
      </w:r>
      <w:r w:rsidR="006C3968">
        <w:rPr>
          <w:b/>
          <w:sz w:val="40"/>
          <w:szCs w:val="40"/>
        </w:rPr>
        <w:t xml:space="preserve"> Chapter 3</w:t>
      </w:r>
      <w:r w:rsidRPr="009148F2">
        <w:rPr>
          <w:b/>
          <w:sz w:val="40"/>
          <w:szCs w:val="40"/>
        </w:rPr>
        <w:t xml:space="preserve"> Short Answer Response</w:t>
      </w:r>
    </w:p>
    <w:p w:rsidR="00022756" w:rsidRDefault="009148F2" w:rsidP="009326C8">
      <w:pPr>
        <w:jc w:val="center"/>
        <w:rPr>
          <w:sz w:val="32"/>
          <w:szCs w:val="32"/>
        </w:rPr>
      </w:pPr>
      <w:r w:rsidRPr="009326C8">
        <w:rPr>
          <w:noProof/>
          <w:sz w:val="32"/>
          <w:szCs w:val="32"/>
        </w:rPr>
        <w:drawing>
          <wp:anchor distT="0" distB="0" distL="114300" distR="114300" simplePos="0" relativeHeight="251659264" behindDoc="1" locked="0" layoutInCell="1" allowOverlap="1" wp14:anchorId="4AF74720" wp14:editId="0B707EA1">
            <wp:simplePos x="0" y="0"/>
            <wp:positionH relativeFrom="page">
              <wp:align>right</wp:align>
            </wp:positionH>
            <wp:positionV relativeFrom="paragraph">
              <wp:posOffset>3286125</wp:posOffset>
            </wp:positionV>
            <wp:extent cx="7549232" cy="5029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49232" cy="502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22756" w:rsidRPr="00022756">
        <w:t xml:space="preserve"> </w:t>
      </w:r>
      <w:r w:rsidR="006C3968" w:rsidRPr="006C3968">
        <w:rPr>
          <w:noProof/>
          <w:sz w:val="32"/>
          <w:szCs w:val="32"/>
        </w:rPr>
        <w:t>How does the behavior of the three vampire women in this chapter compare to what was expected of Victorian era ladies, according to the “Gender Roles in the 19th Century” article?</w:t>
      </w:r>
    </w:p>
    <w:p w:rsidR="009148F2" w:rsidRDefault="00022756" w:rsidP="00022756">
      <w:pPr>
        <w:tabs>
          <w:tab w:val="left" w:pos="7635"/>
        </w:tabs>
        <w:rPr>
          <w:sz w:val="32"/>
          <w:szCs w:val="32"/>
        </w:rPr>
      </w:pPr>
      <w:r>
        <w:rPr>
          <w:sz w:val="32"/>
          <w:szCs w:val="32"/>
        </w:rPr>
        <w:tab/>
      </w: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Pr="00FF33F0" w:rsidRDefault="006C3968" w:rsidP="006C3968">
      <w:pPr>
        <w:rPr>
          <w:b/>
          <w:sz w:val="32"/>
          <w:szCs w:val="32"/>
        </w:rPr>
      </w:pPr>
      <w:r>
        <w:rPr>
          <w:b/>
          <w:sz w:val="32"/>
          <w:szCs w:val="32"/>
        </w:rPr>
        <w:lastRenderedPageBreak/>
        <w:t>Gender Roles in the 19th C</w:t>
      </w:r>
      <w:r w:rsidRPr="00FF33F0">
        <w:rPr>
          <w:b/>
          <w:sz w:val="32"/>
          <w:szCs w:val="32"/>
        </w:rPr>
        <w:t>entury</w:t>
      </w:r>
    </w:p>
    <w:p w:rsidR="006C3968" w:rsidRPr="006C3968" w:rsidRDefault="006C3968" w:rsidP="006C3968">
      <w:pPr>
        <w:rPr>
          <w:sz w:val="20"/>
          <w:szCs w:val="20"/>
        </w:rPr>
      </w:pPr>
      <w:r w:rsidRPr="006C3968">
        <w:rPr>
          <w:sz w:val="20"/>
          <w:szCs w:val="20"/>
        </w:rPr>
        <w:t>Article adapted from the British Library</w:t>
      </w:r>
    </w:p>
    <w:p w:rsidR="006C3968" w:rsidRPr="006C3968" w:rsidRDefault="006C3968" w:rsidP="006C3968">
      <w:pPr>
        <w:rPr>
          <w:sz w:val="20"/>
          <w:szCs w:val="20"/>
        </w:rPr>
      </w:pPr>
      <w:r w:rsidRPr="006C3968">
        <w:rPr>
          <w:sz w:val="20"/>
          <w:szCs w:val="20"/>
        </w:rPr>
        <w:t>By Kathryn Hughes</w:t>
      </w:r>
    </w:p>
    <w:p w:rsidR="006C3968" w:rsidRPr="006C3968" w:rsidRDefault="006C3968" w:rsidP="006C3968">
      <w:pPr>
        <w:rPr>
          <w:sz w:val="20"/>
          <w:szCs w:val="20"/>
        </w:rPr>
      </w:pPr>
      <w:r>
        <w:rPr>
          <w:sz w:val="20"/>
          <w:szCs w:val="20"/>
        </w:rPr>
        <w:t xml:space="preserve">(1) </w:t>
      </w:r>
      <w:r w:rsidRPr="006C3968">
        <w:rPr>
          <w:sz w:val="20"/>
          <w:szCs w:val="20"/>
        </w:rPr>
        <w:t>During the Victorian period men and women’s roles became more sharply defined than at any time in history. In earlier centuries it had been usual for women to work alongside husbands and brothers in the family business. Living ‘over the shop’ made it easy for women to help out by serving customers or keeping accounts while also attending to their domestic duties. As the 19th century progressed men increasingly commuted to their place of work – the factory, shop or office. Wives, daughters and sisters were left at home all day to oversee the domestic duties that were increasingly carried out by servants. From the 1830s, women started to adopt the crinoline, a huge bell-shaped skirt that made it virtually impossible to clean a grate or sweep the stairs without tumbling over.</w:t>
      </w:r>
    </w:p>
    <w:p w:rsidR="006C3968" w:rsidRPr="006C3968" w:rsidRDefault="006C3968" w:rsidP="006C3968">
      <w:pPr>
        <w:rPr>
          <w:b/>
          <w:sz w:val="20"/>
          <w:szCs w:val="20"/>
        </w:rPr>
      </w:pPr>
      <w:r w:rsidRPr="006C3968">
        <w:rPr>
          <w:b/>
          <w:sz w:val="20"/>
          <w:szCs w:val="20"/>
        </w:rPr>
        <w:t>Separate Spheres</w:t>
      </w:r>
    </w:p>
    <w:p w:rsidR="006C3968" w:rsidRPr="006C3968" w:rsidRDefault="006C3968" w:rsidP="006C3968">
      <w:pPr>
        <w:rPr>
          <w:sz w:val="20"/>
          <w:szCs w:val="20"/>
        </w:rPr>
      </w:pPr>
      <w:r>
        <w:rPr>
          <w:sz w:val="20"/>
          <w:szCs w:val="20"/>
        </w:rPr>
        <w:t xml:space="preserve">(2) </w:t>
      </w:r>
      <w:r w:rsidRPr="006C3968">
        <w:rPr>
          <w:sz w:val="20"/>
          <w:szCs w:val="20"/>
        </w:rPr>
        <w:t>The two sexes now inhabited what Victorians thought of as “separate spheres,” only coming together at breakfast and again at dinner.</w:t>
      </w:r>
    </w:p>
    <w:p w:rsidR="006C3968" w:rsidRPr="006C3968" w:rsidRDefault="006C3968" w:rsidP="006C3968">
      <w:pPr>
        <w:rPr>
          <w:sz w:val="20"/>
          <w:szCs w:val="20"/>
        </w:rPr>
      </w:pPr>
      <w:r>
        <w:rPr>
          <w:sz w:val="20"/>
          <w:szCs w:val="20"/>
        </w:rPr>
        <w:t xml:space="preserve">(3) </w:t>
      </w:r>
      <w:r w:rsidRPr="006C3968">
        <w:rPr>
          <w:sz w:val="20"/>
          <w:szCs w:val="20"/>
        </w:rPr>
        <w:t xml:space="preserve">The ideology of Separate Spheres rested on a definition of the ‘natural’ characteristics of women and men. Women were considered physically weaker yet morally superior to men, which meant that they were best suited to the domestic sphere. Not only was it their job to counterbalance the moral taint of the public sphere in which their husbands </w:t>
      </w:r>
      <w:proofErr w:type="spellStart"/>
      <w:r w:rsidRPr="006C3968">
        <w:rPr>
          <w:sz w:val="20"/>
          <w:szCs w:val="20"/>
        </w:rPr>
        <w:t>laboured</w:t>
      </w:r>
      <w:proofErr w:type="spellEnd"/>
      <w:r w:rsidRPr="006C3968">
        <w:rPr>
          <w:sz w:val="20"/>
          <w:szCs w:val="20"/>
        </w:rPr>
        <w:t xml:space="preserve"> all day, they were also preparing the next generation to carry on this way of life. The fact that women had such great influence at home was used as an argument against giving them the vote.</w:t>
      </w:r>
    </w:p>
    <w:p w:rsidR="006C3968" w:rsidRPr="006C3968" w:rsidRDefault="006C3968" w:rsidP="006C3968">
      <w:pPr>
        <w:rPr>
          <w:b/>
          <w:sz w:val="20"/>
          <w:szCs w:val="20"/>
        </w:rPr>
      </w:pPr>
      <w:r w:rsidRPr="006C3968">
        <w:rPr>
          <w:b/>
          <w:sz w:val="20"/>
          <w:szCs w:val="20"/>
        </w:rPr>
        <w:t>Marriage and Romance</w:t>
      </w:r>
    </w:p>
    <w:p w:rsidR="006C3968" w:rsidRPr="006C3968" w:rsidRDefault="006C3968" w:rsidP="006C3968">
      <w:pPr>
        <w:rPr>
          <w:sz w:val="20"/>
          <w:szCs w:val="20"/>
        </w:rPr>
      </w:pPr>
      <w:r>
        <w:rPr>
          <w:sz w:val="20"/>
          <w:szCs w:val="20"/>
        </w:rPr>
        <w:t xml:space="preserve">(4) </w:t>
      </w:r>
      <w:r w:rsidRPr="006C3968">
        <w:rPr>
          <w:sz w:val="20"/>
          <w:szCs w:val="20"/>
        </w:rPr>
        <w:t>At the same time, a young girl was not expected to focus too obviously on finding a husband. Being ‘forward’ in the company of men suggested a worrying romantic appetite. Women were assumed to desire marriage because it allowed them to become mothers rather than to pursue romantic or emotional satisfaction. One doctor, William Acton, famously declared that ‘The majority of women (happily for them) are not very much troubled with romantic desire of any kind’.</w:t>
      </w:r>
    </w:p>
    <w:p w:rsidR="006C3968" w:rsidRPr="006C3968" w:rsidRDefault="006C3968" w:rsidP="006C3968">
      <w:pPr>
        <w:rPr>
          <w:sz w:val="20"/>
          <w:szCs w:val="20"/>
        </w:rPr>
      </w:pPr>
      <w:r>
        <w:rPr>
          <w:sz w:val="20"/>
          <w:szCs w:val="20"/>
        </w:rPr>
        <w:t xml:space="preserve">(5) </w:t>
      </w:r>
      <w:r w:rsidRPr="006C3968">
        <w:rPr>
          <w:sz w:val="20"/>
          <w:szCs w:val="20"/>
        </w:rPr>
        <w:t>Girls usually married in their early to mid-20s. Typically, the groom would be five years older. Not only did this reinforce the ‘natural’ hierarchy between the sexes, but it also made sound financial sense. A young man needed to be able to show that he earned enough money to support a wife and any future children before the girl’s father would give his permission. Some unfortunate couples were obliged to endure an engagement lasting decades before they could afford to marry.</w:t>
      </w:r>
    </w:p>
    <w:p w:rsidR="006C3968" w:rsidRPr="006C3968" w:rsidRDefault="006C3968" w:rsidP="006C3968">
      <w:pPr>
        <w:rPr>
          <w:sz w:val="20"/>
          <w:szCs w:val="20"/>
        </w:rPr>
      </w:pPr>
      <w:r>
        <w:rPr>
          <w:sz w:val="20"/>
          <w:szCs w:val="20"/>
        </w:rPr>
        <w:t xml:space="preserve">(6) </w:t>
      </w:r>
      <w:r w:rsidRPr="006C3968">
        <w:rPr>
          <w:sz w:val="20"/>
          <w:szCs w:val="20"/>
        </w:rPr>
        <w:t xml:space="preserve">Young and not-so-young women had no choice but to stay chaste until marriage. They were not even allowed to speak to men unless there was a married woman present as a chaperone. Higher education or professional work was also out of the question. These emotional frustrations could lead to all sorts of covert rebellion. Young Florence Nightingale longed to be able to do something useful in the world, but was expected to stay with her mother and sister, helping supervise the servants. She suffered from hysterical outbursts as a teenager, and could not bear to eat with the rest of the family. Elizabeth Barrett, meanwhile, used illness as an excuse to retreat to a room at the top of her father’s house and write poetry. In 1847 Charlotte </w:t>
      </w:r>
      <w:proofErr w:type="spellStart"/>
      <w:r w:rsidRPr="006C3968">
        <w:rPr>
          <w:sz w:val="20"/>
          <w:szCs w:val="20"/>
        </w:rPr>
        <w:t>Brontë</w:t>
      </w:r>
      <w:proofErr w:type="spellEnd"/>
      <w:r w:rsidRPr="006C3968">
        <w:rPr>
          <w:sz w:val="20"/>
          <w:szCs w:val="20"/>
        </w:rPr>
        <w:t xml:space="preserve"> put strong feelings about women’s limited role into the mouth of her heroine Jane Eyre:</w:t>
      </w:r>
    </w:p>
    <w:p w:rsidR="006C3968" w:rsidRPr="006C3968" w:rsidRDefault="006C3968" w:rsidP="006C3968">
      <w:pPr>
        <w:rPr>
          <w:i/>
          <w:sz w:val="20"/>
          <w:szCs w:val="20"/>
        </w:rPr>
      </w:pPr>
      <w:r w:rsidRPr="006C3968">
        <w:rPr>
          <w:i/>
          <w:sz w:val="20"/>
          <w:szCs w:val="20"/>
        </w:rPr>
        <w:t>women are supposed to be very calm generally: but women feel just as men feel; they need exercise for their faculties and a field for their efforts as much as their brothers do; they suffer from too rigid a restraint, too absolute a stagnation, precisely as men would suffer; and it is narrow-minded in their more privileged fellow-creatures to say that they ought to confine themselves to making puddings and knitting stockings, to playing on the piano and embroidering bags. (</w:t>
      </w:r>
      <w:proofErr w:type="spellStart"/>
      <w:r w:rsidRPr="006C3968">
        <w:rPr>
          <w:i/>
          <w:sz w:val="20"/>
          <w:szCs w:val="20"/>
        </w:rPr>
        <w:t>ch.</w:t>
      </w:r>
      <w:proofErr w:type="spellEnd"/>
      <w:r w:rsidRPr="006C3968">
        <w:rPr>
          <w:i/>
          <w:sz w:val="20"/>
          <w:szCs w:val="20"/>
        </w:rPr>
        <w:t xml:space="preserve"> 12)</w:t>
      </w:r>
    </w:p>
    <w:p w:rsidR="006C3968" w:rsidRPr="006C3968" w:rsidRDefault="006C3968" w:rsidP="006C3968">
      <w:pPr>
        <w:rPr>
          <w:sz w:val="20"/>
          <w:szCs w:val="20"/>
        </w:rPr>
      </w:pPr>
      <w:r>
        <w:rPr>
          <w:sz w:val="20"/>
          <w:szCs w:val="20"/>
        </w:rPr>
        <w:t xml:space="preserve">(7) </w:t>
      </w:r>
      <w:bookmarkStart w:id="0" w:name="_GoBack"/>
      <w:bookmarkEnd w:id="0"/>
      <w:r w:rsidRPr="006C3968">
        <w:rPr>
          <w:sz w:val="20"/>
          <w:szCs w:val="20"/>
        </w:rPr>
        <w:t xml:space="preserve">This passage was considered so shocking that conservative commentators such as Lady (Elizabeth) Eastlake in a famously scathing review of Jane Eyre likened its tone to Chartism, the popular </w:t>
      </w:r>
      <w:proofErr w:type="spellStart"/>
      <w:r w:rsidRPr="006C3968">
        <w:rPr>
          <w:sz w:val="20"/>
          <w:szCs w:val="20"/>
        </w:rPr>
        <w:t>labour</w:t>
      </w:r>
      <w:proofErr w:type="spellEnd"/>
      <w:r w:rsidRPr="006C3968">
        <w:rPr>
          <w:sz w:val="20"/>
          <w:szCs w:val="20"/>
        </w:rPr>
        <w:t xml:space="preserve"> movement that advocated universal suffrage. </w:t>
      </w:r>
    </w:p>
    <w:sectPr w:rsidR="006C3968" w:rsidRPr="006C396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74D0" w:rsidRDefault="004E74D0" w:rsidP="009148F2">
      <w:pPr>
        <w:spacing w:after="0" w:line="240" w:lineRule="auto"/>
      </w:pPr>
      <w:r>
        <w:separator/>
      </w:r>
    </w:p>
  </w:endnote>
  <w:endnote w:type="continuationSeparator" w:id="0">
    <w:p w:rsidR="004E74D0" w:rsidRDefault="004E74D0" w:rsidP="00914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74D0" w:rsidRDefault="004E74D0" w:rsidP="009148F2">
      <w:pPr>
        <w:spacing w:after="0" w:line="240" w:lineRule="auto"/>
      </w:pPr>
      <w:r>
        <w:separator/>
      </w:r>
    </w:p>
  </w:footnote>
  <w:footnote w:type="continuationSeparator" w:id="0">
    <w:p w:rsidR="004E74D0" w:rsidRDefault="004E74D0" w:rsidP="009148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8F2" w:rsidRDefault="009148F2">
    <w:pPr>
      <w:pStyle w:val="Header"/>
    </w:pPr>
    <w:r>
      <w:t>Name:</w:t>
    </w:r>
    <w:r>
      <w:tab/>
      <w:t>Date: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8F2"/>
    <w:rsid w:val="00022756"/>
    <w:rsid w:val="004E74D0"/>
    <w:rsid w:val="006C3968"/>
    <w:rsid w:val="009148F2"/>
    <w:rsid w:val="009326C8"/>
    <w:rsid w:val="00BD7E0D"/>
    <w:rsid w:val="00C87610"/>
    <w:rsid w:val="00F72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DDAAA9-1360-4581-B32C-E14007E12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48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48F2"/>
  </w:style>
  <w:style w:type="paragraph" w:styleId="Footer">
    <w:name w:val="footer"/>
    <w:basedOn w:val="Normal"/>
    <w:link w:val="FooterChar"/>
    <w:uiPriority w:val="99"/>
    <w:unhideWhenUsed/>
    <w:rsid w:val="009148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48F2"/>
  </w:style>
  <w:style w:type="paragraph" w:styleId="ListParagraph">
    <w:name w:val="List Paragraph"/>
    <w:basedOn w:val="Normal"/>
    <w:uiPriority w:val="34"/>
    <w:qFormat/>
    <w:rsid w:val="006C39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652</Words>
  <Characters>3719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2015-02-22T22:59:00Z</dcterms:created>
  <dcterms:modified xsi:type="dcterms:W3CDTF">2015-02-22T23:02:00Z</dcterms:modified>
</cp:coreProperties>
</file>